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Reference Note -- PDPA Scope and Exemptions (DLA Piper)</w:t>
      </w:r>
    </w:p>
    <w:p>
      <w:pPr>
        <w:spacing w:after="200"/>
      </w:pPr>
      <w:r>
        <w:rPr>
          <w:color w:val="666666"/>
          <w:sz w:val="18"/>
          <w:szCs w:val="18"/>
        </w:rPr>
        <w:t xml:space="preserve">Source: https://www.dlapiperdataprotection.com/index.html?t=law&amp;c=SG</w:t>
      </w:r>
    </w:p>
    <w:p>
      <w:pPr>
        <w:spacing w:after="160"/>
      </w:pPr>
      <w:r>
        <w:t xml:space="preserve">DLA Piper's comparative data protection guide summary for Singapore, kept on file for cross-border matters.</w:t>
      </w:r>
    </w:p>
    <w:p>
      <w:pPr>
        <w:pStyle w:val="Heading2"/>
        <w:spacing w:before="200"/>
      </w:pPr>
      <w:r>
        <w:t xml:space="preserve">Excerpt (Section 2, Section 4)</w:t>
      </w:r>
    </w:p>
    <w:p>
      <w:pPr>
        <w:spacing w:after="160"/>
        <w:ind w:left="480"/>
      </w:pPr>
      <w:r>
        <w:rPr>
          <w:i/>
          <w:iCs/>
        </w:rPr>
        <w:t xml:space="preserve">"The Act has extraterritorial effect, meaning it applies to organizations collecting, using or disclosing personal data in Singapore" regardless of physical presence.</w:t>
      </w:r>
    </w:p>
    <w:p>
      <w:pPr>
        <w:spacing w:after="160"/>
        <w:ind w:left="480"/>
      </w:pPr>
      <w:r>
        <w:rPr>
          <w:i/>
          <w:iCs/>
        </w:rPr>
        <w:t xml:space="preserve">"The data protection obligations under the Act do not apply to business contact information," covering names, titles, business phone numbers, addresses, and work email addresses.</w:t>
      </w:r>
    </w:p>
    <w:p>
      <w:pPr>
        <w:spacing w:after="160"/>
        <w:ind w:left="480"/>
      </w:pPr>
      <w:r>
        <w:rPr>
          <w:i/>
          <w:iCs/>
        </w:rPr>
        <w:t xml:space="preserve">Personal data covers "data, whether true or not, about an individual (whether living or recently deceased)" -- coverage of deceased individuals is "limited to disclosure and protection of personal data where such data is about an individual who has been deceased for ten years or fewer."</w:t>
      </w:r>
    </w:p>
    <w:p>
      <w:pPr>
        <w:pStyle w:val="Heading2"/>
        <w:spacing w:before="200"/>
      </w:pPr>
      <w:r>
        <w:t xml:space="preserve">Internal note</w:t>
      </w:r>
    </w:p>
    <w:p>
      <w:pPr>
        <w:spacing w:after="160"/>
      </w:pPr>
      <w:r>
        <w:t xml:space="preserve">The extraterritorial-effect point matters for any client with no Singapore office but Singapore customers -- do not assume no local presence means no PDPA exposure.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2026-09-06T02:24:50.940Z</dcterms:created>
  <dcterms:modified xsi:type="dcterms:W3CDTF">2026-09-06T02:24:50.940Z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