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Reference Note -- PDPA Exemptions Checklist (Elitez)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Source: https://www.elitez.asia/a-guide-to-singapore-pdpa-compliance/</w:t>
      </w:r>
    </w:p>
    <w:p>
      <w:pPr>
        <w:spacing w:after="160"/>
      </w:pPr>
      <w:r>
        <w:t xml:space="preserve">HR-facing exemptions checklist, referenced when scoping a new HR-tech client engagement.</w:t>
      </w:r>
    </w:p>
    <w:p>
      <w:pPr>
        <w:pStyle w:val="Heading2"/>
        <w:spacing w:before="200"/>
      </w:pPr>
      <w:r>
        <w:t xml:space="preserve">Excerpt (Section 2, Section 4)</w:t>
      </w:r>
    </w:p>
    <w:p>
      <w:pPr>
        <w:spacing w:after="160"/>
        <w:ind w:left="480"/>
      </w:pPr>
      <w:r>
        <w:rPr>
          <w:i/>
          <w:iCs/>
        </w:rPr>
        <w:t xml:space="preserve">Excluded categories: "Personal data which has been recorded and have been stored for 100 or more years" and "Personal data of a deceased who has been dead for more than ten years."</w:t>
      </w:r>
    </w:p>
    <w:p>
      <w:pPr>
        <w:spacing w:after="160"/>
        <w:ind w:left="480"/>
      </w:pPr>
      <w:r>
        <w:rPr>
          <w:i/>
          <w:iCs/>
        </w:rPr>
        <w:t xml:space="preserve">Employees "are required to adhere to the policies of their employer" but "cannot...be held personally accountable for activities that cause their organization to violate the PDPA."</w:t>
      </w:r>
    </w:p>
    <w:p>
      <w:pPr>
        <w:spacing w:after="160"/>
        <w:ind w:left="480"/>
      </w:pPr>
      <w:r>
        <w:rPr>
          <w:i/>
          <w:iCs/>
        </w:rPr>
        <w:t xml:space="preserve">Data intermediaries are "partially excluded from these obligations," though employee processors are not included in this exemption.</w:t>
      </w:r>
    </w:p>
    <w:p>
      <w:pPr>
        <w:pStyle w:val="Heading2"/>
        <w:spacing w:before="200"/>
      </w:pPr>
      <w:r>
        <w:t xml:space="preserve">Internal note</w:t>
      </w:r>
    </w:p>
    <w:p>
      <w:pPr>
        <w:spacing w:after="160"/>
      </w:pPr>
      <w:r>
        <w:t xml:space="preserve">The employee personal-liability point is worth putting in plain terms in the HR handbook -- staff sometimes wrongly believe they're personally exposed.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2026-09-06T02:24:50.942Z</dcterms:created>
  <dcterms:modified xsi:type="dcterms:W3CDTF">2026-09-06T02:24:50.942Z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