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Reference Note -- Organisation and Data Intermediary Definitions (ClayHR)</w:t>
      </w:r>
    </w:p>
    <w:p>
      <w:pPr>
        <w:spacing w:after="200"/>
      </w:pPr>
      <w:r>
        <w:rPr>
          <w:color w:val="666666"/>
          <w:sz w:val="18"/>
          <w:szCs w:val="18"/>
        </w:rPr>
        <w:t xml:space="preserve">Source: https://www.clayhr.com/policies/singapore-pdpa</w:t>
      </w:r>
    </w:p>
    <w:p>
      <w:pPr>
        <w:spacing w:after="160"/>
      </w:pPr>
      <w:r>
        <w:t xml:space="preserve">HR-tech vendor's own PDPA policy page, kept as a definitions reference.</w:t>
      </w:r>
    </w:p>
    <w:p>
      <w:pPr>
        <w:pStyle w:val="Heading2"/>
        <w:spacing w:before="200"/>
      </w:pPr>
      <w:r>
        <w:t xml:space="preserve">Excerpt (Section 2)</w:t>
      </w:r>
    </w:p>
    <w:p>
      <w:pPr>
        <w:spacing w:after="160"/>
        <w:ind w:left="480"/>
      </w:pPr>
      <w:r>
        <w:rPr>
          <w:i/>
          <w:iCs/>
        </w:rPr>
        <w:t xml:space="preserve">Organisation is defined broadly as "individual, company, association or body of persons, corporate or unincorporated."</w:t>
      </w:r>
    </w:p>
    <w:p>
      <w:pPr>
        <w:spacing w:after="160"/>
        <w:ind w:left="480"/>
      </w:pPr>
      <w:r>
        <w:rPr>
          <w:i/>
          <w:iCs/>
        </w:rPr>
        <w:t xml:space="preserve">Data intermediary: "an organization processing data on behalf of another, excluding employees of the principal organization."</w:t>
      </w:r>
    </w:p>
    <w:p>
      <w:pPr>
        <w:spacing w:after="160"/>
        <w:ind w:left="480"/>
      </w:pPr>
      <w:r>
        <w:rPr>
          <w:i/>
          <w:iCs/>
        </w:rPr>
        <w:t xml:space="preserve">As a data intermediary, obligations are limited: "they need only comply with the Protection and Retention Limitation obligations when processing data per contract."</w:t>
      </w:r>
    </w:p>
    <w:p>
      <w:pPr>
        <w:pStyle w:val="Heading2"/>
        <w:spacing w:before="200"/>
      </w:pPr>
      <w:r>
        <w:t xml:space="preserve">Internal note</w:t>
      </w:r>
    </w:p>
    <w:p>
      <w:pPr>
        <w:spacing w:after="160"/>
      </w:pPr>
      <w:r>
        <w:t xml:space="preserve">When we act as a data intermediary for a client (e.g. hosting their HR records), remember our own obligations are narrower than the client's -- don't over-promise compliance scope in the SOW.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2026-09-06T02:24:50.942Z</dcterms:created>
  <dcterms:modified xsi:type="dcterms:W3CDTF">2026-09-06T02:24:50.942Z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