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Reference Note -- Who Must Comply (CyberSigma)</w:t>
      </w:r>
    </w:p>
    <w:p>
      <w:pPr>
        <w:spacing w:after="200"/>
      </w:pPr>
      <w:r>
        <w:rPr>
          <w:color w:val="666666"/>
          <w:sz w:val="18"/>
          <w:szCs w:val="18"/>
        </w:rPr>
        <w:t xml:space="preserve">Source: https://cybersigmacs.com/knowledge-center/pdpa-singapore/</w:t>
      </w:r>
    </w:p>
    <w:p>
      <w:pPr>
        <w:spacing w:after="160"/>
      </w:pPr>
      <w:r>
        <w:t xml:space="preserve">Compliance-vendor summary of who the PDPA applies to, kept for scoping new-client questionnaires.</w:t>
      </w:r>
    </w:p>
    <w:p>
      <w:pPr>
        <w:pStyle w:val="Heading2"/>
        <w:spacing w:before="200"/>
      </w:pPr>
      <w:r>
        <w:t xml:space="preserve">Excerpt (Section 2, Section 4)</w:t>
      </w:r>
    </w:p>
    <w:p>
      <w:pPr>
        <w:spacing w:after="160"/>
        <w:ind w:left="480"/>
      </w:pPr>
      <w:r>
        <w:rPr>
          <w:i/>
          <w:iCs/>
        </w:rPr>
        <w:t xml:space="preserve">The PDPA applies to "all private-sector 'organisations' that collect, use or disclose personal data in Singapore, whether or not the organisation is formed or resident in Singapore."</w:t>
      </w:r>
    </w:p>
    <w:p>
      <w:pPr>
        <w:spacing w:after="160"/>
        <w:ind w:left="480"/>
      </w:pPr>
      <w:r>
        <w:rPr>
          <w:i/>
          <w:iCs/>
        </w:rPr>
        <w:t xml:space="preserve">"Government bodies are excluded; they're governed by the Public Sector (Governance) Act 2018 instead."</w:t>
      </w:r>
    </w:p>
    <w:p>
      <w:pPr>
        <w:spacing w:after="160"/>
        <w:ind w:left="480"/>
      </w:pPr>
      <w:r>
        <w:rPr>
          <w:i/>
          <w:iCs/>
        </w:rPr>
        <w:t xml:space="preserve">"Consent and notification obligations don't apply when BCI is used for business purposes."</w:t>
      </w:r>
    </w:p>
    <w:p>
      <w:pPr>
        <w:spacing w:after="160"/>
        <w:ind w:left="480"/>
      </w:pPr>
      <w:r>
        <w:rPr>
          <w:i/>
          <w:iCs/>
        </w:rPr>
        <w:t xml:space="preserve">The Act is "principles-based and technology-neutral, imposing outcome-based obligations rather than prescribing specific technologies."</w:t>
      </w:r>
    </w:p>
    <w:p>
      <w:pPr>
        <w:pStyle w:val="Heading2"/>
        <w:spacing w:before="200"/>
      </w:pPr>
      <w:r>
        <w:t xml:space="preserve">Internal note</w:t>
      </w:r>
    </w:p>
    <w:p>
      <w:pPr>
        <w:spacing w:after="160"/>
      </w:pPr>
      <w:r>
        <w:t xml:space="preserve">"Principles-based, not prescriptive" is a good line for clients frustrated that PDPA doesn't give a technical checklist -- the obligation is the outcome, not a specific control.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2026-09-06T02:24:50.943Z</dcterms:created>
  <dcterms:modified xsi:type="dcterms:W3CDTF">2026-09-06T02:24:50.943Z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