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Reference Note -- Data Intermediary Contract Requirements</w:t>
      </w:r>
    </w:p>
    <w:p>
      <w:pPr>
        <w:spacing w:after="200"/>
      </w:pPr>
      <w:r>
        <w:rPr>
          <w:color w:val="666666"/>
          <w:sz w:val="18"/>
          <w:szCs w:val="18"/>
        </w:rPr>
        <w:t xml:space="preserve">Source: web search summary, sourced from privacy.com.sg and related PDPA guidance (see note_11)</w:t>
      </w:r>
    </w:p>
    <w:p>
      <w:pPr>
        <w:spacing w:after="160"/>
      </w:pPr>
      <w:r>
        <w:t xml:space="preserve">Drafting note for the vendor-agreement template, focused on the written-contract requirement.</w:t>
      </w:r>
    </w:p>
    <w:p>
      <w:pPr>
        <w:pStyle w:val="Heading2"/>
        <w:spacing w:before="200"/>
      </w:pPr>
      <w:r>
        <w:t xml:space="preserve">Excerpt (Section 2, Section 4(2))</w:t>
      </w:r>
    </w:p>
    <w:p>
      <w:pPr>
        <w:spacing w:after="160"/>
        <w:ind w:left="480"/>
      </w:pPr>
      <w:r>
        <w:rPr>
          <w:i/>
          <w:iCs/>
        </w:rPr>
        <w:t xml:space="preserve">A data intermediary is defined as "an organisation that processes data on behalf of another organisation but does not include an employee of that other organisation."</w:t>
      </w:r>
    </w:p>
    <w:p>
      <w:pPr>
        <w:spacing w:after="160"/>
        <w:ind w:left="480"/>
      </w:pPr>
      <w:r>
        <w:rPr>
          <w:i/>
          <w:iCs/>
        </w:rPr>
        <w:t xml:space="preserve">"When there is a written contract, the organization has the same responsibilities under the PDPA as if it were handling the personal data directly," while the data intermediary needs only comply with the Protection Obligation and the Retention Limitation Obligation.</w:t>
      </w:r>
    </w:p>
    <w:p>
      <w:pPr>
        <w:pStyle w:val="Heading2"/>
        <w:spacing w:before="200"/>
      </w:pPr>
      <w:r>
        <w:t xml:space="preserve">Internal note</w:t>
      </w:r>
    </w:p>
    <w:p>
      <w:pPr>
        <w:spacing w:after="160"/>
      </w:pPr>
      <w:r>
        <w:t xml:space="preserve">Cross-reference note_11 and note_09 -- all three sources agree the written contract is the operative trigger for the narrower Section 4(2) exemption.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2026-09-06T02:24:50.943Z</dcterms:created>
  <dcterms:modified xsi:type="dcterms:W3CDTF">2026-09-06T02:24:50.943Z</dcterms:modified>
</cp:coreProperties>
</file>

<file path=docProps/custom.xml><?xml version="1.0" encoding="utf-8"?>
<Properties xmlns="http://schemas.openxmlformats.org/officeDocument/2006/custom-properties" xmlns:vt="http://schemas.openxmlformats.org/officeDocument/2006/docPropsVTypes"/>
</file>