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Business Contact Information — Usage Guide</w:t>
      </w:r>
    </w:p>
    <w:p>
      <w:pPr>
        <w:spacing w:after="160"/>
      </w:pPr>
      <w:r>
        <w:t xml:space="preserve">Guide for the sales team on when a contact's business card or email signature details fall outside PDPA obligations as 'business contact information'.</w:t>
      </w:r>
    </w:p>
    <w:p>
      <w:pPr>
        <w:pStyle w:val="Heading2"/>
        <w:spacing w:before="200"/>
      </w:pPr>
      <w:r>
        <w:t xml:space="preserve">Relevant PDPA provisions</w:t>
      </w:r>
    </w:p>
    <w:p>
      <w:pPr>
        <w:spacing w:after="160"/>
        <w:ind w:left="480"/>
      </w:pPr>
      <w:r>
        <w:rPr>
          <w:i/>
          <w:iCs/>
        </w:rPr>
        <w:t xml:space="preserve">Section 2 (Interpretation): "'business contact information' means an individual's name, position name or title, business telephone number, business address, business electronic mail address or business fax number and any other similar information about the individual, not provided by the individual solely for his personal purposes."</w:t>
      </w:r>
    </w:p>
    <w:p>
      <w:pPr>
        <w:spacing w:after="160"/>
        <w:ind w:left="480"/>
      </w:pPr>
      <w:r>
        <w:rPr>
          <w:i/>
          <w:iCs/>
        </w:rPr>
        <w:t xml:space="preserve">Section 4(5): "Except where business contact information is expressly referred to, Parts III to VI shall not apply to business contact information."</w:t>
      </w:r>
    </w:p>
    <w:p>
      <w:pPr>
        <w:pStyle w:val="Heading2"/>
        <w:spacing w:before="200"/>
      </w:pPr>
      <w:r>
        <w:t xml:space="preserve">Internal guidance</w:t>
      </w:r>
    </w:p>
    <w:p>
      <w:pPr>
        <w:spacing w:after="160"/>
      </w:pPr>
      <w:r>
        <w:t xml:space="preserve">A contact's business email and office number, given to you in a professional capacity, are business contact information under Section 2 and generally fall outside Parts III to VI per Section 4(5).</w:t>
      </w:r>
    </w:p>
    <w:p>
      <w:pPr>
        <w:spacing w:after="160"/>
      </w:pPr>
      <w:r>
        <w:t xml:space="preserve">The same details, if given to you outside a professional context (e.g. a personal mobile number shared privately), are not business contact information and PDPA obligations apply as normal.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2026-09-05T19:21:00.157Z</dcterms:created>
  <dcterms:modified xsi:type="dcterms:W3CDTF">2026-09-05T19:21:00.157Z</dcterms:modified>
</cp:coreProperties>
</file>

<file path=docProps/custom.xml><?xml version="1.0" encoding="utf-8"?>
<Properties xmlns="http://schemas.openxmlformats.org/officeDocument/2006/custom-properties" xmlns:vt="http://schemas.openxmlformats.org/officeDocument/2006/docPropsVTypes"/>
</file>