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Deceased Customer Records — Retention Policy</w:t>
      </w:r>
    </w:p>
    <w:p>
      <w:pPr>
        <w:spacing w:after="160"/>
      </w:pPr>
      <w:r>
        <w:t xml:space="preserve">Policy on how long deceased customers' personal data may be retained and which PDPA obligations continue to apply after death.</w:t>
      </w:r>
    </w:p>
    <w:p>
      <w:pPr>
        <w:pStyle w:val="Heading2"/>
        <w:spacing w:before="200"/>
      </w:pPr>
      <w:r>
        <w:t xml:space="preserve">Relevant PDPA provision</w:t>
      </w:r>
    </w:p>
    <w:p>
      <w:pPr>
        <w:spacing w:after="160"/>
        <w:ind w:left="480"/>
      </w:pPr>
      <w:r>
        <w:rPr>
          <w:i/>
          <w:iCs/>
        </w:rPr>
        <w:t xml:space="preserve">Section 4(4): "This Act shall not apply in respect of — (a) personal data about an individual that is contained in a record that has been in existence for at least 100 years; or (b) personal data about a deceased individual, except that the provisions relating to the disclosure of personal data and section 24 (protection of personal data) shall apply in respect of personal data about an individual who has been dead for 10 years or fewer."</w:t>
      </w:r>
    </w:p>
    <w:p>
      <w:pPr>
        <w:pStyle w:val="Heading2"/>
        <w:spacing w:before="200"/>
      </w:pPr>
      <w:r>
        <w:t xml:space="preserve">Internal guidance</w:t>
      </w:r>
    </w:p>
    <w:p>
      <w:pPr>
        <w:spacing w:after="160"/>
      </w:pPr>
      <w:r>
        <w:t xml:space="preserve">For a customer who has been deceased for 10 years or fewer, disclosure obligations and Section 24 protection obligations continue to apply — do not treat death as an automatic release from PDPA obligations.</w:t>
      </w:r>
    </w:p>
    <w:p>
      <w:pPr>
        <w:spacing w:after="160"/>
      </w:pPr>
      <w:r>
        <w:t xml:space="preserve">Once 10 years have passed since death, or once a record is at least 100 years old, the Section 4(4) carve-out applies and the Act no longer governs that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2026-09-05T19:21:00.157Z</dcterms:created>
  <dcterms:modified xsi:type="dcterms:W3CDTF">2026-09-05T19:21:00.157Z</dcterms:modified>
</cp:coreProperties>
</file>

<file path=docProps/custom.xml><?xml version="1.0" encoding="utf-8"?>
<Properties xmlns="http://schemas.openxmlformats.org/officeDocument/2006/custom-properties" xmlns:vt="http://schemas.openxmlformats.org/officeDocument/2006/docPropsVTypes"/>
</file>