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Employee Personal Data Handling Policy</w:t>
      </w:r>
    </w:p>
    <w:p>
      <w:pPr>
        <w:spacing w:after="160"/>
      </w:pPr>
      <w:r>
        <w:t xml:space="preserve">This policy explains when an employee's handling of personal data in the course of their duties falls outside the firm's PDPA obligations, and when it does not.</w:t>
      </w:r>
    </w:p>
    <w:p>
      <w:pPr>
        <w:pStyle w:val="Heading2"/>
        <w:spacing w:before="200"/>
      </w:pPr>
      <w:r>
        <w:t xml:space="preserve">Relevant PDPA provision</w:t>
      </w:r>
    </w:p>
    <w:p>
      <w:pPr>
        <w:spacing w:after="160"/>
        <w:ind w:left="480"/>
      </w:pPr>
      <w:r>
        <w:rPr>
          <w:i/>
          <w:iCs/>
        </w:rPr>
        <w:t xml:space="preserve">Section 4(1)(b): "Parts III to VI shall not impose any obligation on — ... any employee acting in the course of his employment with an organisation."</w:t>
      </w:r>
    </w:p>
    <w:p>
      <w:pPr>
        <w:pStyle w:val="Heading2"/>
        <w:spacing w:before="200"/>
      </w:pPr>
      <w:r>
        <w:t xml:space="preserve">Internal guidance</w:t>
      </w:r>
    </w:p>
    <w:p>
      <w:pPr>
        <w:spacing w:after="160"/>
      </w:pPr>
      <w:r>
        <w:t xml:space="preserve">This carve-out applies to the employee's own conduct while acting within the course of their employment — it does not exempt the firm itself, which remains bound by Parts III to VI for the same processing.</w:t>
      </w:r>
    </w:p>
    <w:p>
      <w:pPr>
        <w:spacing w:after="160"/>
      </w:pPr>
      <w:r>
        <w:t xml:space="preserve">Employees acting outside the course of their employment (for example, using firm systems for a personal side venture) fall outside this carve-out and should be treated as ordinary individuals under the Act.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2026-09-05T19:21:00.156Z</dcterms:created>
  <dcterms:modified xsi:type="dcterms:W3CDTF">2026-09-05T19:21:00.156Z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