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Marketing Consent Collection Guidelines</w:t>
      </w:r>
    </w:p>
    <w:p>
      <w:pPr>
        <w:spacing w:after="160"/>
      </w:pPr>
      <w:r>
        <w:t xml:space="preserve">Guidelines for the marketing team on what counts as personal data when collecting consent for campaigns, and the Act's underlying purpose in regulating that collection.</w:t>
      </w:r>
    </w:p>
    <w:p>
      <w:pPr>
        <w:pStyle w:val="Heading2"/>
        <w:spacing w:before="200"/>
      </w:pPr>
      <w:r>
        <w:t xml:space="preserve">Relevant PDPA provisions</w:t>
      </w:r>
    </w:p>
    <w:p>
      <w:pPr>
        <w:spacing w:after="160"/>
        <w:ind w:left="480"/>
      </w:pPr>
      <w:r>
        <w:rPr>
          <w:i/>
          <w:iCs/>
        </w:rPr>
        <w:t xml:space="preserve">Section 2 (Interpretation): "'personal data' means data, whether true or not, about an individual who can be identified — (a) from that data; or (b) from that data and other information to which the organisation has or is likely to have access."</w:t>
      </w:r>
    </w:p>
    <w:p>
      <w:pPr>
        <w:spacing w:after="160"/>
        <w:ind w:left="480"/>
      </w:pPr>
      <w:r>
        <w:rPr>
          <w:i/>
          <w:iCs/>
        </w:rPr>
        <w:t xml:space="preserve">Section 3 (Purpose): "The purpose of this Act is to govern the collection, use and disclosure of personal data by organisations in a manner that recognises both the right of individuals to protect their personal data and the need of organisations to collect, use or disclose personal data for purposes that a reasonable person would consider appropriate in the circumstances."</w:t>
      </w:r>
    </w:p>
    <w:p>
      <w:pPr>
        <w:pStyle w:val="Heading2"/>
        <w:spacing w:before="200"/>
      </w:pPr>
      <w:r>
        <w:t xml:space="preserve">Internal guidance</w:t>
      </w:r>
    </w:p>
    <w:p>
      <w:pPr>
        <w:spacing w:after="160"/>
      </w:pPr>
      <w:r>
        <w:t xml:space="preserve">Treat any campaign data that could identify an individual, even combined with other data we hold, as personal data under Section 2 — not just obviously identifying fields like name or email.</w:t>
      </w:r>
    </w:p>
    <w:p>
      <w:pPr>
        <w:spacing w:after="160"/>
      </w:pPr>
      <w:r>
        <w:t xml:space="preserve">Consent requests should be scoped to purposes a reasonable person would consider appropriate, per Section 3 — broad, catch-all consent language is a compliance risk, not a safe default.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2026-09-05T19:21:00.157Z</dcterms:created>
  <dcterms:modified xsi:type="dcterms:W3CDTF">2026-09-05T19:21:00.157Z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