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PDPA Interpretation — Quick Reference</w:t>
      </w:r>
    </w:p>
    <w:p>
      <w:pPr>
        <w:spacing w:after="160"/>
      </w:pPr>
      <w:r>
        <w:t xml:space="preserve">A quick reference to a few of the PDPA's core defined terms, for staff who need a fast answer without reading the full Act.</w:t>
      </w:r>
    </w:p>
    <w:p>
      <w:pPr>
        <w:pStyle w:val="Heading2"/>
        <w:spacing w:before="200"/>
      </w:pPr>
      <w:r>
        <w:t xml:space="preserve">Relevant PDPA provisions</w:t>
      </w:r>
    </w:p>
    <w:p>
      <w:pPr>
        <w:spacing w:after="160"/>
        <w:ind w:left="480"/>
      </w:pPr>
      <w:r>
        <w:rPr>
          <w:i/>
          <w:iCs/>
        </w:rPr>
        <w:t xml:space="preserve">Section 1 (Short title and commencement): "This Act may be cited as the Personal Data Protection Act 2012 and shall come into operation on such date as the Minister may, by notification in the Gazette, appoint."</w:t>
      </w:r>
    </w:p>
    <w:p>
      <w:pPr>
        <w:spacing w:after="160"/>
        <w:ind w:left="480"/>
      </w:pPr>
      <w:r>
        <w:rPr>
          <w:i/>
          <w:iCs/>
        </w:rPr>
        <w:t xml:space="preserve">Section 2 (Interpretation): "'individual' means a natural person, whether living or deceased."</w:t>
      </w:r>
    </w:p>
    <w:p>
      <w:pPr>
        <w:spacing w:after="160"/>
        <w:ind w:left="480"/>
      </w:pPr>
      <w:r>
        <w:rPr>
          <w:i/>
          <w:iCs/>
        </w:rPr>
        <w:t xml:space="preserve">Section 2 (Interpretation): "'organisation' includes any individual, company, association or body of persons, corporate or unincorporated, whether or not (a) formed or recognised under the law of Singapore; or (b) resident, or having an office or a place of business, in Singapore."</w:t>
      </w:r>
    </w:p>
    <w:p>
      <w:pPr>
        <w:pStyle w:val="Heading2"/>
        <w:spacing w:before="200"/>
      </w:pPr>
      <w:r>
        <w:t xml:space="preserve">Notes</w:t>
      </w:r>
    </w:p>
    <w:p>
      <w:pPr>
        <w:spacing w:after="160"/>
      </w:pPr>
      <w:r>
        <w:t xml:space="preserve">'Individual' under Section 2 includes deceased persons — do not assume PDPA definitions stop applying at death; see the separate retention policy for what changes.</w:t>
      </w:r>
    </w:p>
    <w:p>
      <w:pPr>
        <w:spacing w:after="160"/>
      </w:pPr>
      <w:r>
        <w:t xml:space="preserve">'Organisation' under Section 2 is broad enough to catch foreign entities with no Singapore presence — jurisdiction is not a PDPA defence by default.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2026-09-05T19:21:00.158Z</dcterms:created>
  <dcterms:modified xsi:type="dcterms:W3CDTF">2026-09-05T19:21:00.158Z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