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Onboarding — Data Protection Checklist</w:t>
      </w:r>
    </w:p>
    <w:p>
      <w:pPr>
        <w:spacing w:after="160"/>
      </w:pPr>
      <w:r>
        <w:t xml:space="preserve">Checklist for classifying a new vendor's data-handling role before onboarding, referencing the PDPA's core definitions.</w:t>
      </w:r>
    </w:p>
    <w:p>
      <w:pPr>
        <w:pStyle w:val="Heading2"/>
        <w:spacing w:before="200"/>
      </w:pPr>
      <w:r>
        <w:t xml:space="preserve">Relevant PDPA provisions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"'personal data' means data, whether true or not, about an individual who can be identified — (a) from that data; or (b) from that data and other information to which the organisation has or is likely to have access."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"'organisation' includes any individual, company, association or body of persons, corporate or unincorporated, whether or not — (a) formed or recognised under the law of Singapore; or (b) resident, or having an office or a place of business, in Singapore."</w:t>
      </w:r>
    </w:p>
    <w:p>
      <w:pPr>
        <w:spacing w:after="160"/>
        <w:ind w:left="480"/>
      </w:pPr>
      <w:r>
        <w:rPr>
          <w:i/>
          <w:iCs/>
        </w:rPr>
        <w:t xml:space="preserve">Section 4(2): a data intermediary processing personal data on our behalf under a written contract is exempt from most Part III to VI obligations, save sections 24 and 25.</w:t>
      </w:r>
    </w:p>
    <w:p>
      <w:pPr>
        <w:pStyle w:val="Heading2"/>
        <w:spacing w:before="200"/>
      </w:pPr>
      <w:r>
        <w:t xml:space="preserve">Checklist</w:t>
      </w:r>
    </w:p>
    <w:p>
      <w:pPr>
        <w:spacing w:after="160"/>
      </w:pPr>
      <w:r>
        <w:t xml:space="preserve">1. Confirm whether the vendor will handle 'personal data' as defined in Section 2 — if the data cannot identify an individual, PDPA classification questions below do not apply.</w:t>
      </w:r>
    </w:p>
    <w:p>
      <w:pPr>
        <w:spacing w:after="160"/>
      </w:pPr>
      <w:r>
        <w:t xml:space="preserve">2. Confirm the vendor is an 'organisation' under Section 2, regardless of where it is incorporated or based.</w:t>
      </w:r>
    </w:p>
    <w:p>
      <w:pPr>
        <w:spacing w:after="160"/>
      </w:pPr>
      <w:r>
        <w:t xml:space="preserve">3. If the vendor is acting as our data intermediary, ensure the engagement is documented in writing before relying on the Section 4(2) exemption.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2026-09-05T19:21:00.156Z</dcterms:created>
  <dcterms:modified xsi:type="dcterms:W3CDTF">2026-09-05T19:21:00.156Z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