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 xml:space="preserve"> </w:t>
      </w:r>
      <w:r>
        <w:rPr>
          <w:b/>
          <w:color w:val="000000"/>
          <w:sz w:val="28"/>
          <w:szCs w:val="28"/>
          <w:shd w:fill="auto" w:val="clear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РОССИЙСКОЙ ФЕДЕРАЦИИ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высшего образования</w:t>
      </w:r>
    </w:p>
    <w:p>
      <w:pPr>
        <w:pStyle w:val="Style27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«Воронежский государственный технический университет»</w:t>
      </w:r>
    </w:p>
    <w:p>
      <w:pPr>
        <w:pStyle w:val="Normal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Style27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УТВЕРЖДАЮ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 xml:space="preserve">Декан факультета 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shd w:fill="auto" w:val="clear"/>
                <w:lang w:val="ru-RU"/>
              </w:rPr>
              <w:t>наименование факультета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________________/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______________________</w:t>
            </w:r>
            <w:r>
              <w:rPr>
                <w:sz w:val="28"/>
                <w:szCs w:val="28"/>
                <w:shd w:fill="auto" w:val="clear"/>
                <w:lang w:val="ru-RU"/>
              </w:rPr>
              <w:t>/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_______________________________ 202_ г.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</w:tr>
    </w:tbl>
    <w:p>
      <w:pPr>
        <w:pStyle w:val="4"/>
        <w:numPr>
          <w:ilvl w:val="3"/>
          <w:numId w:val="1"/>
        </w:numPr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РАБОЧАЯ ПРОГРАММА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дисциплины (модуля)</w:t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  <w:t>«name»</w:t>
      </w:r>
    </w:p>
    <w:p>
      <w:pPr>
        <w:pStyle w:val="Normal"/>
        <w:jc w:val="center"/>
        <w:rPr>
          <w:b/>
          <w:b/>
          <w:bCs/>
          <w:i/>
          <w:i/>
          <w:sz w:val="28"/>
          <w:szCs w:val="28"/>
          <w:highlight w:val="none"/>
          <w:shd w:fill="auto" w:val="clear"/>
        </w:rPr>
      </w:pPr>
      <w:r>
        <w:rPr>
          <w:b/>
          <w:bCs/>
          <w:i/>
          <w:sz w:val="28"/>
          <w:szCs w:val="28"/>
          <w:shd w:fill="auto" w:val="clear"/>
        </w:rPr>
      </w:r>
    </w:p>
    <w:p>
      <w:pPr>
        <w:pStyle w:val="Normal"/>
        <w:rPr>
          <w:b/>
          <w:b/>
          <w:bCs/>
          <w:i/>
          <w:i/>
          <w:sz w:val="28"/>
          <w:szCs w:val="28"/>
          <w:highlight w:val="none"/>
          <w:shd w:fill="auto" w:val="clear"/>
          <w:lang w:eastAsia="en-US"/>
        </w:rPr>
      </w:pPr>
      <w:r>
        <w:rPr>
          <w:b/>
          <w:bCs/>
          <w:i/>
          <w:sz w:val="28"/>
          <w:szCs w:val="28"/>
          <w:shd w:fill="auto" w:val="clear"/>
          <w:lang w:eastAsia="en-US"/>
        </w:rPr>
      </w:r>
    </w:p>
    <w:p>
      <w:pPr>
        <w:pStyle w:val="Default"/>
        <w:rPr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Направление подготовки </w:t>
      </w:r>
      <w:r>
        <w:rPr>
          <w:bCs/>
          <w:color w:val="000000"/>
          <w:sz w:val="28"/>
          <w:szCs w:val="28"/>
          <w:shd w:fill="auto" w:val="clear"/>
        </w:rPr>
        <w:t>(специальность)</w:t>
      </w:r>
      <w:r>
        <w:rPr>
          <w:color w:val="000000"/>
          <w:sz w:val="28"/>
          <w:szCs w:val="28"/>
          <w:shd w:fill="auto" w:val="clear"/>
        </w:rPr>
        <w:t xml:space="preserve">  </w:t>
      </w:r>
      <w:r>
        <w:rPr>
          <w:color w:val="000000"/>
          <w:sz w:val="28"/>
          <w:szCs w:val="28"/>
          <w:u w:val="single"/>
          <w:shd w:fill="auto" w:val="clear"/>
        </w:rPr>
        <w:t>spec</w:t>
      </w:r>
    </w:p>
    <w:p>
      <w:pPr>
        <w:pStyle w:val="Default"/>
        <w:rPr>
          <w:highlight w:val="none"/>
          <w:shd w:fill="auto" w:val="clear"/>
        </w:rPr>
      </w:pPr>
      <w:r>
        <w:rPr>
          <w:bCs/>
          <w:color w:val="000000"/>
          <w:sz w:val="16"/>
          <w:szCs w:val="16"/>
          <w:shd w:fill="auto" w:val="clear"/>
        </w:rPr>
        <w:tab/>
        <w:tab/>
        <w:tab/>
        <w:tab/>
        <w:tab/>
        <w:tab/>
        <w:tab/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iCs/>
          <w:sz w:val="28"/>
          <w:szCs w:val="28"/>
          <w:shd w:fill="auto" w:val="clear"/>
        </w:rPr>
        <w:t>Профиль  (</w:t>
      </w:r>
      <w:r>
        <w:rPr>
          <w:iCs/>
          <w:sz w:val="28"/>
          <w:szCs w:val="28"/>
          <w:shd w:fill="auto" w:val="clear"/>
        </w:rPr>
        <w:t xml:space="preserve">специализация) </w:t>
      </w:r>
      <w:r>
        <w:rPr>
          <w:iCs/>
          <w:sz w:val="28"/>
          <w:szCs w:val="28"/>
          <w:u w:val="single"/>
          <w:shd w:fill="auto" w:val="clear"/>
        </w:rPr>
        <w:t>prof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Квалификация выпускника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qual</w:t>
      </w:r>
    </w:p>
    <w:p>
      <w:pPr>
        <w:pStyle w:val="Normal"/>
        <w:jc w:val="both"/>
        <w:rPr>
          <w:b/>
          <w:b/>
          <w:bCs/>
          <w:sz w:val="16"/>
          <w:szCs w:val="16"/>
          <w:highlight w:val="none"/>
          <w:u w:val="single"/>
          <w:shd w:fill="auto" w:val="clear"/>
        </w:rPr>
      </w:pPr>
      <w:r>
        <w:rPr>
          <w:b/>
          <w:bCs/>
          <w:sz w:val="16"/>
          <w:szCs w:val="16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Нормативный период обучения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period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 xml:space="preserve">           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Форма обучения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form</w:t>
      </w:r>
    </w:p>
    <w:p>
      <w:pPr>
        <w:pStyle w:val="Normal"/>
        <w:jc w:val="both"/>
        <w:rPr>
          <w:b/>
          <w:b/>
          <w:bCs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Год начала подготовки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startYear</w:t>
      </w:r>
      <w:r>
        <w:rPr>
          <w:bCs/>
          <w:sz w:val="28"/>
          <w:szCs w:val="28"/>
          <w:u w:val="single"/>
          <w:shd w:fill="auto" w:val="clear"/>
        </w:rPr>
        <w:t>г.</w:t>
      </w:r>
    </w:p>
    <w:p>
      <w:pPr>
        <w:pStyle w:val="Normal"/>
        <w:rPr>
          <w:bCs/>
          <w:sz w:val="28"/>
          <w:szCs w:val="28"/>
          <w:highlight w:val="none"/>
          <w:u w:val="single"/>
          <w:shd w:fill="auto" w:val="clear"/>
        </w:rPr>
      </w:pPr>
      <w:r>
        <w:rPr>
          <w:bCs/>
          <w:sz w:val="28"/>
          <w:szCs w:val="28"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  <w:tab/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Заведующий кафедрой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____________________                      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наименование кафедры, реализующей дисциплину</w:t>
      </w:r>
      <w:r>
        <w:rPr>
          <w:iCs/>
          <w:sz w:val="16"/>
          <w:szCs w:val="16"/>
          <w:shd w:fill="auto" w:val="clear"/>
        </w:rPr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</w:r>
      <w:r>
        <w:rPr>
          <w:iCs/>
          <w:sz w:val="16"/>
          <w:szCs w:val="16"/>
          <w:shd w:fill="auto" w:val="clear"/>
        </w:rPr>
        <w:tab/>
        <w:tab/>
        <w:tab/>
        <w:tab/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Руководитель ОПОП </w:t>
      </w:r>
      <w:r>
        <w:rPr>
          <w:bCs/>
          <w:sz w:val="28"/>
          <w:szCs w:val="28"/>
          <w:shd w:fill="auto" w:val="clear"/>
        </w:rPr>
        <w:t xml:space="preserve"> </w:t>
        <w:tab/>
        <w:tab/>
        <w:tab/>
        <w:t xml:space="preserve"> </w:t>
      </w:r>
      <w:r>
        <w:rPr>
          <w:sz w:val="28"/>
          <w:szCs w:val="28"/>
          <w:shd w:fill="auto" w:val="clear"/>
        </w:rPr>
        <w:t xml:space="preserve">_____________________  </w:t>
        <w:tab/>
        <w:t>И.О. Фамилия</w:t>
      </w:r>
    </w:p>
    <w:p>
      <w:pPr>
        <w:pStyle w:val="Normal"/>
        <w:ind w:left="4248" w:right="0" w:firstLine="708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подпись</w:t>
        <w:tab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Воронеж 202</w:t>
        <w:softHyphen/>
        <w:t>__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highlight w:val="none"/>
          <w:shd w:fill="auto" w:val="clear"/>
        </w:rPr>
      </w:pPr>
      <w:r>
        <w:rPr>
          <w:b/>
          <w:bCs/>
          <w:spacing w:val="10"/>
          <w:sz w:val="28"/>
          <w:szCs w:val="28"/>
          <w:shd w:fill="auto" w:val="clear"/>
        </w:rPr>
        <w:t>ЦЕЛИ И ЗАДАЧИ ДИСЦИПЛИНЫ</w:t>
      </w:r>
    </w:p>
    <w:p>
      <w:pPr>
        <w:pStyle w:val="Style43"/>
        <w:spacing w:before="0" w:after="0"/>
        <w:ind w:left="0" w:right="0" w:firstLine="709"/>
        <w:rPr>
          <w:b w:val="false"/>
          <w:b w:val="false"/>
          <w:bCs/>
          <w:spacing w:val="10"/>
          <w:sz w:val="28"/>
          <w:szCs w:val="28"/>
          <w:highlight w:val="none"/>
          <w:shd w:fill="auto" w:val="clear"/>
        </w:rPr>
      </w:pPr>
      <w:r>
        <w:rPr>
          <w:b w:val="false"/>
          <w:bCs/>
          <w:spacing w:val="10"/>
          <w:sz w:val="28"/>
          <w:szCs w:val="28"/>
          <w:shd w:fill="auto" w:val="clear"/>
        </w:rPr>
      </w:r>
    </w:p>
    <w:p>
      <w:pPr>
        <w:pStyle w:val="Style43"/>
        <w:numPr>
          <w:ilvl w:val="1"/>
          <w:numId w:val="3"/>
        </w:numPr>
        <w:spacing w:before="0" w:after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Цели дисциплины</w:t>
      </w:r>
    </w:p>
    <w:p>
      <w:pPr>
        <w:pStyle w:val="Style43"/>
        <w:spacing w:before="0" w:after="0"/>
        <w:ind w:left="1429" w:right="0" w:hanging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Style43"/>
        <w:spacing w:before="0" w:after="0"/>
        <w:ind w:left="0" w:right="0" w:firstLine="709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1.2. Задачи освоения дисциплины</w:t>
      </w:r>
    </w:p>
    <w:p>
      <w:pPr>
        <w:pStyle w:val="Normal"/>
        <w:ind w:left="0" w:right="0" w:firstLine="720"/>
        <w:jc w:val="center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МЕСТО ДИСЦИПЛИНЫ В СТРУКТУРЕ ОПОП</w:t>
      </w:r>
    </w:p>
    <w:p>
      <w:pPr>
        <w:pStyle w:val="Normal"/>
        <w:ind w:left="0" w:right="0" w:firstLine="72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Дисциплина (модуль)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 xml:space="preserve">относится к дисциплинам </w:t>
      </w:r>
      <w:r>
        <w:rPr>
          <w:sz w:val="28"/>
          <w:szCs w:val="28"/>
          <w:u w:val="single"/>
          <w:shd w:fill="auto" w:val="clear"/>
        </w:rPr>
        <w:t>B1Oобязательной части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u w:val="single"/>
          <w:shd w:fill="auto" w:val="clear"/>
        </w:rPr>
        <w:t>B1Bчасти, формируемой участниками образовательных отношений</w:t>
      </w:r>
      <w:r>
        <w:rPr>
          <w:sz w:val="28"/>
          <w:szCs w:val="28"/>
          <w:shd w:fill="auto" w:val="clear"/>
        </w:rPr>
        <w:t xml:space="preserve"> блока Б.1 учебного плана.</w:t>
      </w:r>
    </w:p>
    <w:p>
      <w:pPr>
        <w:pStyle w:val="Normal"/>
        <w:jc w:val="center"/>
        <w:rPr>
          <w:b/>
          <w:b/>
          <w:i/>
          <w:i/>
          <w:iCs/>
          <w:sz w:val="28"/>
          <w:szCs w:val="28"/>
          <w:highlight w:val="none"/>
          <w:shd w:fill="auto" w:val="clear"/>
        </w:rPr>
      </w:pPr>
      <w:r>
        <w:rPr>
          <w:b/>
          <w:i/>
          <w:i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3. </w:t>
      </w:r>
      <w:r>
        <w:rPr>
          <w:b/>
          <w:caps/>
          <w:sz w:val="28"/>
          <w:szCs w:val="28"/>
          <w:shd w:fill="auto" w:val="clear"/>
        </w:rPr>
        <w:t>Перечень планируемых результатов обучения по дисциплине</w:t>
      </w:r>
    </w:p>
    <w:p>
      <w:pPr>
        <w:pStyle w:val="Normal"/>
        <w:ind w:left="0" w:right="0" w:firstLine="708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Процесс изучения дисциплины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shd w:fill="auto" w:val="clear"/>
        </w:rPr>
        <w:t xml:space="preserve"> направлен на формирование следующих компетенций: </w:t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left="0" w:right="0" w:hanging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compList</w:t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</w:tbl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center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ОБЪЕМ ДИСЦИПЛИНЫ (МОДУЛЯ)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Общая трудоемкость дисциплины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 xml:space="preserve">составляет </w:t>
      </w:r>
      <w:r>
        <w:rPr>
          <w:sz w:val="28"/>
          <w:szCs w:val="28"/>
          <w:u w:val="single"/>
          <w:shd w:fill="auto" w:val="clear"/>
        </w:rPr>
        <w:t>zed</w:t>
      </w:r>
      <w:r>
        <w:rPr>
          <w:sz w:val="28"/>
          <w:szCs w:val="28"/>
          <w:u w:val="none"/>
          <w:shd w:fill="auto" w:val="clear"/>
        </w:rPr>
        <w:t xml:space="preserve"> зачетных</w:t>
      </w:r>
      <w:r>
        <w:rPr>
          <w:sz w:val="28"/>
          <w:szCs w:val="28"/>
          <w:shd w:fill="auto" w:val="clear"/>
        </w:rPr>
        <w:t>(е) единиц(ы).</w:t>
      </w:r>
    </w:p>
    <w:p>
      <w:pPr>
        <w:pStyle w:val="Normal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Распределение трудоемкости дисциплины по видам занятий 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5"/>
        <w:gridCol w:w="693"/>
      </w:tblGrid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Курсовой проект (работа)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Контрольная работа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Вид промежуточной аттестации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Курсовой проект (работа) 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Контрольная работа 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Вид промежуточной аттестации 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Курсовой проект (работа)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Контрольная работа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Вид промежуточной аттестации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6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19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7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Курсовой проект (работа)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Контрольная работа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Вид промежуточной аттестации 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7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7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timeTableZЗаочная 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5"/>
        <w:gridCol w:w="1"/>
        <w:gridCol w:w="478"/>
        <w:gridCol w:w="662"/>
        <w:gridCol w:w="578"/>
        <w:gridCol w:w="271"/>
        <w:gridCol w:w="1"/>
        <w:gridCol w:w="652"/>
        <w:gridCol w:w="198"/>
        <w:gridCol w:w="1"/>
        <w:gridCol w:w="726"/>
        <w:gridCol w:w="693"/>
      </w:tblGrid>
      <w:tr>
        <w:trPr>
          <w:trHeight w:val="219" w:hRule="atLeast"/>
        </w:trPr>
        <w:tc>
          <w:tcPr>
            <w:tcW w:w="5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Курсовой проект (работа) 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Контрольная работа 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Вид промежуточной аттестации 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5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Курсовой проект (работа) 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Контрольная работа 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Вид промежуточной аттестации 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Курсовой проект (работа) 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Контрольная работа 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Вид промежуточной аттестации 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65" w:hRule="atLeast"/>
        </w:trPr>
        <w:tc>
          <w:tcPr>
            <w:tcW w:w="5485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 xml:space="preserve">в том числе в форме практической подготовки 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Курсовой проект (работа) 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Контрольная работа 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Вид промежуточной аттестации 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6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 СОДЕРЖАНИЕ ДИСЦИПЛИНЫ (МОДУЛЯ)</w:t>
      </w:r>
    </w:p>
    <w:p>
      <w:pPr>
        <w:pStyle w:val="Normal"/>
        <w:ind w:left="708" w:right="0" w:hanging="0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35"/>
        <w:gridCol w:w="712"/>
        <w:gridCol w:w="710"/>
        <w:gridCol w:w="808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№ </w:t>
            </w:r>
            <w:r>
              <w:rPr>
                <w:sz w:val="18"/>
                <w:szCs w:val="18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Лекц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Прак зан.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Лаб. зан.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СРС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/>
                <w:bCs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bCs/>
                <w:i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rStyle w:val="Style23"/>
                <w:b/>
                <w:i/>
                <w:sz w:val="18"/>
                <w:szCs w:val="18"/>
                <w:shd w:fill="auto" w:val="clear"/>
              </w:rPr>
              <w:footnoteReference w:id="2"/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allLect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allPract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allLab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allSam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allTime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allTimeTableZзаочная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35"/>
        <w:gridCol w:w="712"/>
        <w:gridCol w:w="710"/>
        <w:gridCol w:w="808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№ </w:t>
            </w:r>
            <w:r>
              <w:rPr>
                <w:sz w:val="20"/>
                <w:szCs w:val="20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Лекц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Прак зан.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Лаб. зан.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СРС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b/>
                <w:i/>
                <w:sz w:val="18"/>
                <w:szCs w:val="18"/>
                <w:shd w:fill="auto" w:val="clear"/>
                <w:vertAlign w:val="superscript"/>
              </w:rPr>
              <w:t>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allLect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allPract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allLab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allSam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allTime</w:t>
            </w:r>
          </w:p>
        </w:tc>
      </w:tr>
    </w:tbl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bookmarkStart w:id="2" w:name="__DdeLink__12823_926987415"/>
      <w:r>
        <w:rPr>
          <w:sz w:val="28"/>
          <w:szCs w:val="28"/>
          <w:shd w:fill="auto" w:val="clear"/>
        </w:rPr>
        <w:t>PractPodgotov</w:t>
      </w:r>
      <w:bookmarkEnd w:id="2"/>
      <w:r>
        <w:rPr>
          <w:sz w:val="28"/>
          <w:szCs w:val="28"/>
          <w:shd w:fill="auto" w:val="clear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630"/>
        <w:gridCol w:w="2418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№</w:t>
            </w:r>
            <w:r>
              <w:rPr>
                <w:rFonts w:eastAsia="Times New Roman"/>
                <w:shd w:fill="auto" w:val="clear"/>
              </w:rPr>
              <w:t xml:space="preserve"> </w:t>
            </w:r>
            <w:r>
              <w:rPr>
                <w:rFonts w:eastAsia="SimSun;宋体"/>
                <w:shd w:fill="auto" w:val="clear"/>
              </w:rPr>
              <w:t>п/п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Перечень выполняемых обучающимися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отдельных элементов работ,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связанных с будущей профессиональной деятельностью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</w:tbl>
    <w:p>
      <w:pPr>
        <w:pStyle w:val="Normal"/>
        <w:ind w:left="0" w:right="175" w:hanging="0"/>
        <w:jc w:val="both"/>
        <w:rPr>
          <w:i/>
          <w:i/>
          <w:sz w:val="20"/>
          <w:szCs w:val="20"/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5.2 Перечень лабораторных работ</w:t>
      </w:r>
    </w:p>
    <w:p>
      <w:pPr>
        <w:pStyle w:val="Normal"/>
        <w:ind w:left="708" w:right="0" w:hanging="0"/>
        <w:rPr/>
      </w:pPr>
      <w:bookmarkStart w:id="3" w:name="__DdeLink__2437_926987415"/>
      <w:r>
        <w:rPr>
          <w:b w:val="false"/>
          <w:bCs w:val="false"/>
          <w:sz w:val="28"/>
          <w:szCs w:val="28"/>
        </w:rPr>
        <w:t>LabRList</w:t>
      </w:r>
      <w:bookmarkEnd w:id="3"/>
      <w:r>
        <w:rPr>
          <w:b w:val="false"/>
          <w:bCs w:val="false"/>
          <w:sz w:val="28"/>
          <w:szCs w:val="28"/>
        </w:rPr>
        <w:t>Не предусмотрено учебным планом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6. ПРИМЕРНАЯ ТЕМАТИКА КУРСОВЫХ ПРОЕКТОВ (РАБОТ)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И  КОНТРОЛЬНЫХ РАБОТ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KPNВ соответствии с учебным планом освоение дисциплины не предусматривает  выполнение курсового проекта (работы).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KPrYВ соответствии с учебным планом освоение дисциплины предусматривает  выполнение </w:t>
      </w:r>
      <w:r>
        <w:rPr>
          <w:sz w:val="28"/>
          <w:szCs w:val="28"/>
          <w:u w:val="single"/>
          <w:shd w:fill="auto" w:val="clear"/>
        </w:rPr>
        <w:t>курсового проекта</w:t>
      </w:r>
      <w:r>
        <w:rPr>
          <w:sz w:val="28"/>
          <w:szCs w:val="28"/>
          <w:shd w:fill="auto" w:val="clear"/>
        </w:rPr>
        <w:t xml:space="preserve">  в </w:t>
      </w:r>
      <w:r>
        <w:rPr>
          <w:sz w:val="28"/>
          <w:szCs w:val="28"/>
          <w:u w:val="single"/>
          <w:shd w:fill="auto" w:val="clear"/>
        </w:rPr>
        <w:t>kursPList</w:t>
      </w:r>
      <w:r>
        <w:rPr>
          <w:sz w:val="28"/>
          <w:szCs w:val="28"/>
          <w:u w:val="none"/>
          <w:shd w:fill="auto" w:val="clear"/>
        </w:rPr>
        <w:t>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KRabYВ соответствии с учебным планом освоение дисциплины предусматривает  выполнение </w:t>
      </w:r>
      <w:r>
        <w:rPr>
          <w:sz w:val="28"/>
          <w:szCs w:val="28"/>
          <w:u w:val="single"/>
          <w:shd w:fill="auto" w:val="clear"/>
        </w:rPr>
        <w:t xml:space="preserve">курсовой работы </w:t>
      </w:r>
      <w:r>
        <w:rPr>
          <w:sz w:val="28"/>
          <w:szCs w:val="28"/>
          <w:shd w:fill="auto" w:val="clear"/>
        </w:rPr>
        <w:t xml:space="preserve"> в </w:t>
      </w:r>
      <w:r>
        <w:rPr>
          <w:sz w:val="28"/>
          <w:szCs w:val="28"/>
          <w:u w:val="single"/>
          <w:shd w:fill="auto" w:val="clear"/>
        </w:rPr>
        <w:t>kursRList</w:t>
      </w:r>
      <w:r>
        <w:rPr>
          <w:sz w:val="28"/>
          <w:szCs w:val="28"/>
          <w:u w:val="none"/>
          <w:shd w:fill="auto" w:val="clear"/>
        </w:rPr>
        <w:t>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KPYПримерная тематика курсового проекта (работы): ____________________________________________________________________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KPYЗадачи, решаемые при выполнении курсового проекта (работы):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    •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    •  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KPYКурсовой проект (работа) включат в себя 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KRNУчебным планом по дисциплине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не предусмотрено выполнение контрольной работы.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KRYУчебным планом по дисциплине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предусмотрено/не предусмотрено (выбрать нужное) выполнение контрольной работы (контрольных работ) в ______ семестре.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KRYПримерная тематика контрольной работы (контрольных работ)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KRY____________________________________________________________________</w:t>
      </w:r>
    </w:p>
    <w:p>
      <w:pPr>
        <w:pStyle w:val="Normal"/>
        <w:ind w:left="19" w:right="58" w:hanging="19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hanging="19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7. оценочные материалы для проведения промежуточной аттестации обучающихся по дисциплине (модулю)</w:t>
      </w:r>
    </w:p>
    <w:p>
      <w:pPr>
        <w:pStyle w:val="Normal"/>
        <w:ind w:left="19" w:right="58" w:firstLine="586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7.1. Описание показателей и критериев оценивания компетенций на различных этапах их формирования, описание шкал оценивания 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57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7.1.1 Этап текущего контроля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«аттестован»;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91"/>
        <w:gridCol w:w="2422"/>
        <w:gridCol w:w="1731"/>
        <w:gridCol w:w="173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47" w:firstLine="3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Компетенция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сформированность компетенции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оценивания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Аттестован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Не аттестован</w:t>
            </w:r>
          </w:p>
        </w:tc>
      </w:tr>
      <w:tr>
        <w:trPr>
          <w:trHeight w:val="1215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611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left="0" w:right="57" w:firstLine="56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7.1.2 Этап промежуточного контроля знаний</w:t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Результаты промежуточного контроля знаний оцениваются в </w:t>
      </w:r>
      <w:bookmarkStart w:id="4" w:name="__DdeLink__31008_926987415"/>
      <w:r>
        <w:rPr>
          <w:sz w:val="28"/>
          <w:szCs w:val="28"/>
          <w:u w:val="single"/>
          <w:shd w:fill="auto" w:val="clear"/>
        </w:rPr>
        <w:t>attistList</w:t>
      </w:r>
      <w:bookmarkEnd w:id="4"/>
      <w:r>
        <w:rPr>
          <w:sz w:val="28"/>
          <w:szCs w:val="28"/>
          <w:shd w:fill="auto" w:val="clear"/>
        </w:rPr>
        <w:t xml:space="preserve"> по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«отлично»;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«хорошо»;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«удовлетворительно»;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«неудовлетворительно»</w:t>
      </w:r>
    </w:p>
    <w:p>
      <w:pPr>
        <w:pStyle w:val="Normal"/>
        <w:ind w:left="19" w:right="57" w:firstLine="69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2021"/>
        <w:gridCol w:w="917"/>
        <w:gridCol w:w="1487"/>
        <w:gridCol w:w="1558"/>
        <w:gridCol w:w="1535"/>
        <w:gridCol w:w="1380"/>
      </w:tblGrid>
      <w:tr>
        <w:trPr/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Компетенция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0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10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709" w:right="58" w:hanging="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7.2.2 Примерный перечень заданий для решения стандартных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7.2.3 Примерный перечень заданий для решения прикладных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7.2.4 Примерный перечень вопросов для подготовки к зачету**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7.2.5 Примерный перечень вопросов для подготовки к экзамену**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7.2.6 Методика выставления оценки при проведении промежуточной аттестации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1"/>
        <w:gridCol w:w="2692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№ </w:t>
            </w:r>
            <w:r>
              <w:rPr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Контролируемые разделы (темы) дисциплины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Код контролируемой компетенции (или ее части)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(наименование темы из раздела 5.1)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ind w:left="19" w:right="58" w:firstLine="690"/>
        <w:jc w:val="both"/>
        <w:rPr>
          <w:b/>
          <w:b/>
          <w:highlight w:val="none"/>
          <w:shd w:fill="auto" w:val="clear"/>
        </w:rPr>
      </w:pPr>
      <w:r>
        <w:rPr>
          <w:b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/>
      </w:r>
    </w:p>
    <w:p>
      <w:pPr>
        <w:pStyle w:val="Normal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 xml:space="preserve">8 Учебно методическое и информационное 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обеспечение дисциплины</w:t>
      </w:r>
    </w:p>
    <w:p>
      <w:pPr>
        <w:pStyle w:val="Normal"/>
        <w:ind w:left="19" w:right="58" w:firstLine="690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8.1 Перечень учебной литературы, необходимой для освоения дисциплины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 учебную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литературу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 ресурсов сети «Интернет»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информационных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технологий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left="0" w:right="0" w:firstLine="720"/>
        <w:rPr>
          <w:highlight w:val="none"/>
          <w:shd w:fill="auto" w:val="clear"/>
        </w:rPr>
      </w:pPr>
      <w:r>
        <w:rPr>
          <w:bCs/>
          <w:i/>
          <w:iCs/>
          <w:color w:val="000000"/>
          <w:sz w:val="28"/>
          <w:szCs w:val="28"/>
          <w:shd w:fill="auto" w:val="clear"/>
        </w:rPr>
        <w:t>Указать перечень материально-технического обеспечения</w:t>
      </w:r>
    </w:p>
    <w:p>
      <w:pPr>
        <w:pStyle w:val="Default"/>
        <w:ind w:left="0" w:right="0" w:firstLine="810"/>
        <w:jc w:val="center"/>
        <w:rPr>
          <w:b/>
          <w:b/>
          <w:bCs/>
          <w:i/>
          <w:i/>
          <w:i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4" w:right="0" w:hanging="274"/>
        <w:jc w:val="center"/>
        <w:rPr>
          <w:highlight w:val="none"/>
          <w:shd w:fill="auto" w:val="clear"/>
        </w:rPr>
      </w:pPr>
      <w:bookmarkStart w:id="5" w:name="__DdeLink__1440_2269375866"/>
      <w:r>
        <w:rPr>
          <w:b/>
          <w:bCs/>
          <w:spacing w:val="-3"/>
          <w:sz w:val="28"/>
          <w:szCs w:val="28"/>
          <w:shd w:fill="auto" w:val="clear"/>
        </w:rPr>
        <w:t>10 МЕТОДИЧЕСКИЕ УКАЗАНИЯ ДЛЯ ОБУЧАЮЩИХСЯ ПО ОСВОЕНИЮ ДИСЦИПЛИНЫ (МОДУЛЯ)</w:t>
      </w:r>
      <w:bookmarkEnd w:id="5"/>
    </w:p>
    <w:p>
      <w:pPr>
        <w:pStyle w:val="Normal"/>
        <w:rPr/>
      </w:pPr>
      <w:r>
        <w:rPr>
          <w:iCs/>
          <w:sz w:val="28"/>
          <w:szCs w:val="28"/>
          <w:shd w:fill="auto" w:val="clear"/>
        </w:rPr>
        <w:tab/>
        <w:t xml:space="preserve">По </w:t>
      </w:r>
      <w:r>
        <w:rPr>
          <w:iCs/>
          <w:sz w:val="28"/>
          <w:szCs w:val="28"/>
          <w:u w:val="none"/>
          <w:shd w:fill="auto" w:val="clear"/>
        </w:rPr>
        <w:t xml:space="preserve">дисциплине </w:t>
      </w:r>
      <w:r>
        <w:rPr>
          <w:iCs/>
          <w:sz w:val="28"/>
          <w:szCs w:val="28"/>
          <w:u w:val="single"/>
          <w:shd w:fill="auto" w:val="clear"/>
        </w:rPr>
        <w:t>«name»</w:t>
      </w:r>
      <w:r>
        <w:rPr>
          <w:iCs/>
          <w:sz w:val="28"/>
          <w:szCs w:val="28"/>
          <w:u w:val="none"/>
          <w:shd w:fill="auto" w:val="clear"/>
        </w:rPr>
        <w:t xml:space="preserve"> </w:t>
      </w:r>
      <w:bookmarkStart w:id="6" w:name="__DdeLink__9586_926987415"/>
      <w:r>
        <w:rPr>
          <w:iCs/>
          <w:sz w:val="28"/>
          <w:szCs w:val="28"/>
          <w:u w:val="none"/>
          <w:shd w:fill="auto" w:val="clear"/>
        </w:rPr>
        <w:t>stringTypeWork</w:t>
      </w:r>
      <w:bookmarkEnd w:id="6"/>
      <w:r>
        <w:rPr>
          <w:iCs/>
          <w:sz w:val="28"/>
          <w:szCs w:val="28"/>
          <w:shd w:fill="auto" w:val="clear"/>
        </w:rPr>
        <w:t>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7861"/>
      </w:tblGrid>
      <w:tr>
        <w:trPr>
          <w:trHeight w:val="707" w:hRule="atLeast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учебных занятий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Деятельность студента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lectType</w:t>
            </w:r>
            <w:r>
              <w:rPr>
                <w:iCs/>
                <w:shd w:fill="auto" w:val="clear"/>
              </w:rPr>
              <w:t>Лекция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 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practType</w:t>
            </w:r>
            <w:r>
              <w:rPr>
                <w:iCs/>
                <w:shd w:fill="auto" w:val="clear"/>
              </w:rPr>
              <w:t xml:space="preserve">Практические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занятия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 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labTypeЛабораторная работа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Лабораторные работы позволяют научиться применять теоретические знания, полученные на лекции при решении конкретных задач. Чтобы</w:t>
            </w:r>
          </w:p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наиболее рационально и полно использовать все возможности</w:t>
            </w:r>
          </w:p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лабораторных для подготовки к ним необходимо: следует разобрать</w:t>
            </w:r>
          </w:p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лекцию по соответствующей теме, ознакомится с соответствующим</w:t>
            </w:r>
          </w:p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разделом учебника, проработать дополнительную литературу и источники, решить задачи и выполнить другие письменные задания.</w:t>
            </w:r>
          </w:p>
        </w:tc>
      </w:tr>
      <w:tr>
        <w:trPr>
          <w:trHeight w:val="2531" w:hRule="atLeast"/>
        </w:trPr>
        <w:tc>
          <w:tcPr>
            <w:tcW w:w="2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samTypeСамостоятельная  работа</w:t>
            </w:r>
          </w:p>
        </w:tc>
        <w:tc>
          <w:tcPr>
            <w:tcW w:w="7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Самостоятельная работа студентов способствует глубокому усвоения учебного материала и развитию навыков самообразования.</w:t>
            </w:r>
          </w:p>
          <w:p>
            <w:pPr>
              <w:pStyle w:val="Normal"/>
              <w:rPr/>
            </w:pPr>
            <w:r>
              <w:rPr/>
              <w:t>Самостоятельная работа предполагает следующие составляющие:</w:t>
            </w:r>
          </w:p>
          <w:p>
            <w:pPr>
              <w:pStyle w:val="Normal"/>
              <w:rPr/>
            </w:pPr>
            <w:r>
              <w:rPr/>
              <w:t>- работа с текстами: учебниками, справочниками, дополнительной</w:t>
            </w:r>
          </w:p>
          <w:p>
            <w:pPr>
              <w:pStyle w:val="Normal"/>
              <w:rPr/>
            </w:pPr>
            <w:r>
              <w:rPr/>
              <w:t>литературой, а также проработка конспектов лекций;</w:t>
            </w:r>
          </w:p>
          <w:p>
            <w:pPr>
              <w:pStyle w:val="Normal"/>
              <w:rPr/>
            </w:pPr>
            <w:r>
              <w:rPr/>
              <w:t>- выполнение домашних заданий и расчетов;</w:t>
            </w:r>
          </w:p>
          <w:p>
            <w:pPr>
              <w:pStyle w:val="Normal"/>
              <w:rPr/>
            </w:pPr>
            <w:r>
              <w:rPr/>
              <w:t>- работа над темами для самостоятельного изучения;</w:t>
            </w:r>
          </w:p>
          <w:p>
            <w:pPr>
              <w:pStyle w:val="Normal"/>
              <w:rPr/>
            </w:pPr>
            <w:r>
              <w:rPr/>
              <w:t>- участие в работе студенческих научных конференций, олимпиад;</w:t>
            </w:r>
          </w:p>
          <w:p>
            <w:pPr>
              <w:pStyle w:val="Normal"/>
              <w:rPr/>
            </w:pPr>
            <w:r>
              <w:rPr/>
              <w:t>- подготовка к промежуточной аттестации.</w:t>
            </w:r>
          </w:p>
        </w:tc>
      </w:tr>
      <w:tr>
        <w:trPr>
          <w:trHeight w:val="2531" w:hRule="atLeast"/>
        </w:trPr>
        <w:tc>
          <w:tcPr>
            <w:tcW w:w="2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Подготовка к промежуточной аттестации</w:t>
            </w:r>
          </w:p>
        </w:tc>
        <w:tc>
          <w:tcPr>
            <w:tcW w:w="7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Готовиться к промежуточной аттестации следует систематически, в течение всего семестра. Интенсивная подготовка должна начаться не позднее, чем за месяц-полтора до промежуточной аттестации. Данные</w:t>
            </w:r>
          </w:p>
          <w:p>
            <w:pPr>
              <w:pStyle w:val="Normal"/>
              <w:rPr/>
            </w:pPr>
            <w:r>
              <w:rPr/>
              <w:t>перед экзаменом, экзаменом три дня эффективнее всего использовать для повторения и систематизации материала.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  <w:r>
        <w:br w:type="page"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kern w:val="2"/>
          <w:sz w:val="28"/>
          <w:szCs w:val="28"/>
          <w:shd w:fill="auto" w:val="clear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/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ind w:left="0" w:right="175" w:firstLine="756"/>
        <w:jc w:val="both"/>
        <w:rPr/>
      </w:pPr>
      <w:r>
        <w:rPr>
          <w:rStyle w:val="Style11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  <w:r>
        <w:rPr>
          <w:sz w:val="28"/>
          <w:szCs w:val="28"/>
        </w:rPr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0" w:firstLine="567"/>
      <w:jc w:val="center"/>
      <w:outlineLvl w:val="1"/>
    </w:pPr>
    <w:rPr>
      <w:b/>
      <w:sz w:val="20"/>
      <w:szCs w:val="20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Style10">
    <w:name w:val="Посещённая гиперссылка"/>
    <w:rPr>
      <w:rFonts w:cs="Times New Roman"/>
      <w:color w:val="800080"/>
      <w:u w:val="single"/>
    </w:rPr>
  </w:style>
  <w:style w:type="character" w:styleId="Style11">
    <w:name w:val="Символ сноски"/>
    <w:qFormat/>
    <w:rPr>
      <w:rFonts w:cs="Times New Roman"/>
      <w:vertAlign w:val="superscript"/>
    </w:rPr>
  </w:style>
  <w:style w:type="character" w:styleId="Style12">
    <w:name w:val="Знак примечания"/>
    <w:qFormat/>
    <w:rPr>
      <w:rFonts w:cs="Times New Roman"/>
      <w:sz w:val="16"/>
      <w:szCs w:val="16"/>
    </w:rPr>
  </w:style>
  <w:style w:type="character" w:styleId="Style13">
    <w:name w:val="Интернет-ссылка"/>
    <w:rPr>
      <w:rFonts w:cs="Times New Roman"/>
      <w:color w:val="0000FF"/>
      <w:u w:val="single"/>
    </w:rPr>
  </w:style>
  <w:style w:type="character" w:styleId="Style14">
    <w:name w:val="Номер страницы"/>
    <w:rPr>
      <w:rFonts w:cs="Times New Roman"/>
    </w:rPr>
  </w:style>
  <w:style w:type="character" w:styleId="Style15">
    <w:name w:val="Выделение жирным"/>
    <w:qFormat/>
    <w:rPr>
      <w:rFonts w:cs="Times New Roman"/>
      <w:b/>
      <w:bCs/>
    </w:rPr>
  </w:style>
  <w:style w:type="character" w:styleId="1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1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6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2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7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9">
    <w:name w:val="Текст выноски Знак"/>
    <w:qFormat/>
    <w:rPr>
      <w:rFonts w:ascii="Tahoma" w:hAnsi="Tahoma" w:cs="Tahoma"/>
      <w:sz w:val="16"/>
      <w:szCs w:val="16"/>
    </w:rPr>
  </w:style>
  <w:style w:type="character" w:styleId="Style20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Style23">
    <w:name w:val="Привязка сноски"/>
    <w:rPr>
      <w:vertAlign w:val="superscript"/>
    </w:rPr>
  </w:style>
  <w:style w:type="character" w:styleId="Style24">
    <w:name w:val="Символ концевой сноски"/>
    <w:qFormat/>
    <w:rPr>
      <w:vertAlign w:val="superscript"/>
    </w:rPr>
  </w:style>
  <w:style w:type="character" w:styleId="WW">
    <w:name w:val="WW-Символ концевой сноски"/>
    <w:qFormat/>
    <w:rPr/>
  </w:style>
  <w:style w:type="character" w:styleId="Style25">
    <w:name w:val="Привязка концевой сноски"/>
    <w:rPr>
      <w:vertAlign w:val="superscript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27">
    <w:name w:val="Body Text"/>
    <w:basedOn w:val="Normal"/>
    <w:pPr/>
    <w:rPr>
      <w:sz w:val="20"/>
      <w:szCs w:val="20"/>
      <w:lang w:val="ru-RU"/>
    </w:rPr>
  </w:style>
  <w:style w:type="paragraph" w:styleId="Style28">
    <w:name w:val="List"/>
    <w:basedOn w:val="Style27"/>
    <w:pPr/>
    <w:rPr>
      <w:rFonts w:cs="Lucida 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ucida Sans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4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left="283" w:right="0" w:hanging="0"/>
    </w:pPr>
    <w:rPr>
      <w:sz w:val="16"/>
      <w:szCs w:val="16"/>
      <w:lang w:val="ru-RU"/>
    </w:rPr>
  </w:style>
  <w:style w:type="paragraph" w:styleId="Style32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Style33">
    <w:name w:val="Footnote Text"/>
    <w:basedOn w:val="Normal"/>
    <w:pPr/>
    <w:rPr>
      <w:sz w:val="20"/>
      <w:szCs w:val="20"/>
      <w:lang w:val="ru-RU"/>
    </w:rPr>
  </w:style>
  <w:style w:type="paragraph" w:styleId="Style3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5">
    <w:name w:val="Header"/>
    <w:basedOn w:val="Normal"/>
    <w:pPr/>
    <w:rPr>
      <w:sz w:val="20"/>
      <w:szCs w:val="20"/>
      <w:lang w:val="ru-RU"/>
    </w:rPr>
  </w:style>
  <w:style w:type="paragraph" w:styleId="Style36">
    <w:name w:val="Body Text Indent"/>
    <w:basedOn w:val="Normal"/>
    <w:pPr>
      <w:spacing w:before="0" w:after="120"/>
      <w:ind w:left="283" w:right="0" w:hanging="0"/>
    </w:pPr>
    <w:rPr>
      <w:lang w:val="ru-RU"/>
    </w:rPr>
  </w:style>
  <w:style w:type="paragraph" w:styleId="Style37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Style38">
    <w:name w:val="Footer"/>
    <w:basedOn w:val="Normal"/>
    <w:pPr/>
    <w:rPr>
      <w:sz w:val="20"/>
      <w:szCs w:val="20"/>
      <w:lang w:val="ru-RU"/>
    </w:rPr>
  </w:style>
  <w:style w:type="paragraph" w:styleId="Style39">
    <w:name w:val="Обычный (веб)"/>
    <w:basedOn w:val="Normal"/>
    <w:qFormat/>
    <w:pPr>
      <w:spacing w:before="280" w:after="280"/>
    </w:pPr>
    <w:rPr/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40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2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left="0" w:right="0" w:firstLine="539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41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42">
    <w:name w:val="Осн_текст_с_отст"/>
    <w:basedOn w:val="Normal"/>
    <w:qFormat/>
    <w:pPr>
      <w:numPr>
        <w:ilvl w:val="0"/>
        <w:numId w:val="5"/>
      </w:numPr>
      <w:spacing w:before="0" w:after="120"/>
      <w:ind w:left="567" w:right="0" w:hanging="0"/>
      <w:jc w:val="both"/>
    </w:pPr>
    <w:rPr/>
  </w:style>
  <w:style w:type="paragraph" w:styleId="Style43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44">
    <w:name w:val="список с точками"/>
    <w:basedOn w:val="Normal"/>
    <w:qFormat/>
    <w:pPr>
      <w:numPr>
        <w:ilvl w:val="0"/>
        <w:numId w:val="6"/>
      </w:numPr>
      <w:spacing w:lineRule="auto" w:line="312"/>
      <w:jc w:val="both"/>
    </w:pPr>
    <w:rPr/>
  </w:style>
  <w:style w:type="paragraph" w:styleId="Style45">
    <w:name w:val="Для таблиц"/>
    <w:basedOn w:val="Normal"/>
    <w:qFormat/>
    <w:pPr/>
    <w:rPr/>
  </w:style>
  <w:style w:type="paragraph" w:styleId="13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46">
    <w:name w:val="Содержимое таблицы"/>
    <w:basedOn w:val="Normal"/>
    <w:qFormat/>
    <w:pPr>
      <w:widowControl w:val="false"/>
      <w:suppressLineNumbers/>
    </w:pPr>
    <w:rPr/>
  </w:style>
  <w:style w:type="paragraph" w:styleId="Style47">
    <w:name w:val="Заголовок таблицы"/>
    <w:basedOn w:val="Style4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6970</TotalTime>
  <Application>LibreOffice/7.3.7.2$Linux_X86_64 LibreOffice_project/30$Build-2</Application>
  <AppVersion>15.0000</AppVersion>
  <Pages>13</Pages>
  <Words>1715</Words>
  <Characters>12857</Characters>
  <CharactersWithSpaces>14977</CharactersWithSpaces>
  <Paragraphs>634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2024-01-09T17:24:44Z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