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GIẤY CHỨNG NHẬN HIỆU CHUẨN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1a1917"/>
          <w:sz w:val="32"/>
          <w:szCs w:val="32"/>
        </w:rPr>
        <w:t xml:space="preserve">CERTIFICATE OF CALIBRATION</w:t>
      </w:r>
    </w:p>
    <w:tbl>
      <w:tblPr>
        <w:tblW w:type="dxa" w:w="90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1. Tên thiết bị: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Instrument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Fan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8. Số giấy chứng nhận: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Certificate No.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000012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2. Nhà sản xuất: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Bồ Đào Nha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9. Ngày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Calibration Date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3. Kiểu: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Model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10. Ngày hiệu chuẩn tiếp theo: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Re-calibration Date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4. ID: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H.045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5. Số sản xuất: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SN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6. Tên khách hàng: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Customer</w:t>
            </w:r>
          </w:p>
        </w:tc>
        <w:tc>
          <w:tcPr>
            <w:tcW w:type="dxa" w:w="7397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CÔNG TY TNHH PAIHONG VIỆT NAM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7. Địa chỉ: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Address</w:t>
            </w:r>
          </w:p>
        </w:tc>
        <w:tc>
          <w:tcPr>
            <w:tcW w:type="dxa" w:w="7397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/>
      </w:r>
    </w:p>
    <w:tbl>
      <w:tblPr>
        <w:tblW w:type="dxa" w:w="90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11. Quy trình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Calibration Procedure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LAB_H1346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12. Tiêu chuẩn tham chiếu: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Reference Standard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IOS207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14. Nơi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Place of Calibration</w:t>
            </w:r>
          </w:p>
        </w:tc>
        <w:tc>
          <w:tcPr>
            <w:tcW w:type="dxa" w:w="7397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CÔNG TY TNHH PAIHONG VIỆT NAM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15. Môi trường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Calibration Environment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+ Nhiệt độ: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[25 ± 2] °C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+ Độ ẩm: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Humidity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[63 ± 5] %RH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614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Người soát xét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Giám đốc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7614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before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before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614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Lê Cảnh Nhật Quang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Lưu Ngọc Thống</w:t>
            </w:r>
          </w:p>
        </w:tc>
      </w:tr>
    </w:tbl>
    <w:p>
      <w:pPr>
        <w:spacing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/>
      </w:r>
    </w:p>
    <w:p>
      <w:pPr>
        <w:spacing w:after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Số giấy chứng nhận / Certificate No.: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000012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16. Kết quả hiệu chuẩn / Calibration Results:</w:t>
      </w:r>
    </w:p>
    <w:tbl>
      <w:tblPr>
        <w:tblW w:type="dxa" w:w="90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9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Thông số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73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Điểm hiệu chuẩn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Calibration Points</w:t>
            </w:r>
          </w:p>
        </w:tc>
        <w:tc>
          <w:tcPr>
            <w:tcW w:type="dxa" w:w="16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Giá trị đo được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As Found Value</w:t>
            </w:r>
          </w:p>
        </w:tc>
        <w:tc>
          <w:tcPr>
            <w:tcW w:type="dxa" w:w="125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Độ KĐBĐ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Uncertainty</w:t>
            </w:r>
          </w:p>
        </w:tc>
        <w:tc>
          <w:tcPr>
            <w:tcW w:type="dxa" w:w="11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Dung sai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Tolerance</w:t>
            </w:r>
          </w:p>
        </w:tc>
        <w:tc>
          <w:tcPr>
            <w:tcW w:type="dxa" w:w="1294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Sự phù hợp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Conformity</w:t>
            </w:r>
          </w:p>
        </w:tc>
      </w:tr>
      <w:tr>
        <w:tc>
          <w:tcPr>
            <w:tcW w:type="dxa" w:w="199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Tốc độ quay</w:t>
            </w:r>
          </w:p>
        </w:tc>
        <w:tc>
          <w:tcPr>
            <w:tcW w:type="dxa" w:w="173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30</w:t>
            </w:r>
          </w:p>
        </w:tc>
        <w:tc>
          <w:tcPr>
            <w:tcW w:type="dxa" w:w="16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125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0.3</w:t>
            </w:r>
          </w:p>
        </w:tc>
        <w:tc>
          <w:tcPr>
            <w:tcW w:type="dxa" w:w="11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± 3</w:t>
            </w:r>
          </w:p>
        </w:tc>
        <w:tc>
          <w:tcPr>
            <w:tcW w:type="dxa" w:w="1294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99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  <w:tc>
          <w:tcPr>
            <w:tcW w:type="dxa" w:w="173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50</w:t>
            </w:r>
          </w:p>
        </w:tc>
        <w:tc>
          <w:tcPr>
            <w:tcW w:type="dxa" w:w="16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125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0.3</w:t>
            </w:r>
          </w:p>
        </w:tc>
        <w:tc>
          <w:tcPr>
            <w:tcW w:type="dxa" w:w="11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± 3</w:t>
            </w:r>
          </w:p>
        </w:tc>
        <w:tc>
          <w:tcPr>
            <w:tcW w:type="dxa" w:w="1294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99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  <w:tc>
          <w:tcPr>
            <w:tcW w:type="dxa" w:w="173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60</w:t>
            </w:r>
          </w:p>
        </w:tc>
        <w:tc>
          <w:tcPr>
            <w:tcW w:type="dxa" w:w="16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125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0.3</w:t>
            </w:r>
          </w:p>
        </w:tc>
        <w:tc>
          <w:tcPr>
            <w:tcW w:type="dxa" w:w="11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± 3</w:t>
            </w:r>
          </w:p>
        </w:tc>
        <w:tc>
          <w:tcPr>
            <w:tcW w:type="dxa" w:w="1294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</w:tr>
    </w:tbl>
    <w:p>
      <w:pPr>
        <w:spacing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17. Thông tin khác / Other information: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17.1 Độ không đảm bảo đo / Uncertainty:</w:t>
      </w:r>
    </w:p>
    <w:p>
      <w:pPr>
        <w:spacing w:after="4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Độ không đảm bảo đo là độ không đảm bảo đo mở rộng được tính từ độ không đảm bảo đo chuẩn nhân với hệ số phủ k=2, phân bố chuẩn tương đương với 95% độ tin cậy.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The reported expanded uncertainty of measurement is stated as the standard uncertainty multiplied by a coverage factor k=2, which for a normal distribution corresponds to a coverage probability of approximately 95%.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17.2 Công bố về sự phù hợp / Statements of conformity: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+ 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Kết quả đo khi tính cả độ không đảm bảo đo nằm trong giới hạn cho phép.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Within tolerance.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+ 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Kết quả đo nằm ngoài giới hạn cho phép.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Out of tolerance.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+ 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Kết quả đo có thể nằm ngoài giới hạn. Không có kết luận.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May be out of tolerance. No conclusion.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+ 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Tiêu chuẩn kỹ thuật không quy định dung sai.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No tolerance stated.</w:t>
      </w:r>
    </w:p>
    <w:p>
      <w:pPr>
        <w:spacing w:befor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6860"/>
          <w:sz w:val="16"/>
          <w:szCs w:val="16"/>
        </w:rPr>
        <w:t xml:space="preserve">www.labmaster.vn  |  Textile – Footwear – Children Products Safety Tester</w:t>
      </w:r>
    </w:p>
    <w:sectPr>
      <w:headerReference w:type="default" r:id="rId7"/>
      <w:footerReference w:type="default" r:id="rId8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i/>
        <w:iCs/>
        <w:color w:val="6b6860"/>
        <w:sz w:val="16"/>
        <w:szCs w:val="16"/>
      </w:rPr>
      <w:t xml:space="preserve">www.labmaster.vn  |  Textile – Footwear – Children Products Safety Tester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6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2335"/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1047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285"/>
          <w:shd w:fill="FFFFFF"/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sz w:val="28"/>
              <w:szCs w:val="28"/>
            </w:rPr>
            <w:t xml:space="preserve">Labmaster ST Company Limited</w:t>
          </w:r>
        </w:p>
        <w:p>
          <w:pPr>
            <w:jc w:val="right"/>
          </w:pPr>
          <w:r>
            <w:rPr>
              <w:rFonts w:ascii="Arial" w:cs="Arial" w:eastAsia="Arial" w:hAnsi="Arial"/>
              <w:sz w:val="18"/>
              <w:szCs w:val="18"/>
            </w:rPr>
            <w:t xml:space="preserve">17 street 179, Tang Nhon Phu ward, Ho Chi Minh city</w:t>
          </w:r>
        </w:p>
        <w:p>
          <w:pPr>
            <w:jc w:val="right"/>
          </w:pPr>
          <w:r>
            <w:rPr>
              <w:rFonts w:ascii="Arial" w:cs="Arial" w:eastAsia="Arial" w:hAnsi="Arial"/>
              <w:sz w:val="18"/>
              <w:szCs w:val="18"/>
            </w:rPr>
            <w:t xml:space="preserve">Email: sale@labmaster.vn / Phone: (+84) 938 088 239</w:t>
          </w:r>
        </w:p>
      </w:tc>
    </w:tr>
  </w:tbl>
  <w:p>
    <w:pPr>
      <w:spacing w:after="0" w:before="0"/>
      <w:jc w:val="right"/>
    </w:pPr>
    <w:r>
      <w:rPr>
        <w:rFonts w:ascii="Arial" w:cs="Arial" w:eastAsia="Arial" w:hAnsi="Arial"/>
        <w:b/>
        <w:bCs/>
        <w:sz w:val="24"/>
        <w:szCs w:val="24"/>
      </w:rPr>
      <w:t xml:space="preserve">ISO/IEC 17025:2017</w:t>
    </w:r>
  </w:p>
  <w:p>
    <w:pPr>
      <w:pBdr>
        <w:bottom w:val="single" w:color="767171" w:sz="4"/>
      </w:pBdr>
      <w:spacing w:after="0" w:before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5ebf55189b42c5cd62de317d4cbc6012fb30134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GCN_000012</dc:title>
  <dc:creator>Un-named</dc:creator>
  <dc:description>Giấy Chứng Nhận Hiệu Chuẩn 000012</dc:description>
  <cp:lastModifiedBy>Un-named</cp:lastModifiedBy>
  <cp:revision>1</cp:revision>
  <dcterms:created xsi:type="dcterms:W3CDTF">2026-06-30T03:26:13.090Z</dcterms:created>
  <dcterms:modified xsi:type="dcterms:W3CDTF">2026-06-30T03:26:13.090Z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