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PHÂN TÍCH CHIẾN LƯỢC PHÂN RÃ EPIC</w:t>
      </w:r>
    </w:p>
    <w:p>
      <w:pPr>
        <w:spacing w:after="200"/>
        <w:jc w:val="center"/>
      </w:pPr>
      <w:r>
        <w:rPr>
          <w:rFonts w:ascii="Arial" w:cs="Arial" w:eastAsia="Arial" w:hAnsi="Arial"/>
          <w:b/>
          <w:bCs/>
          <w:color w:val="2E86AB"/>
          <w:sz w:val="28"/>
          <w:szCs w:val="28"/>
        </w:rPr>
        <w:t xml:space="preserve">HỦY CHUYẾN GHÉP – RikkeiGo</w:t>
      </w:r>
    </w:p>
    <w:p>
      <w:pPr>
        <w:spacing w:after="300"/>
        <w:jc w:val="center"/>
      </w:pPr>
      <w:r>
        <w:rPr>
          <w:rFonts w:ascii="Arial" w:cs="Arial" w:eastAsia="Arial" w:hAnsi="Arial"/>
          <w:i/>
          <w:iCs/>
          <w:color w:val="555555"/>
          <w:sz w:val="20"/>
          <w:szCs w:val="20"/>
        </w:rPr>
        <w:t xml:space="preserve">Bài tập: Chọn chiến lược phân rã Epic dựa trên tiêu chí INVEST</w:t>
      </w:r>
    </w:p>
    <w:p>
      <w:pPr>
        <w:pStyle w:val="Heading1"/>
      </w:pPr>
      <w:r>
        <w:rPr>
          <w:b/>
          <w:bCs/>
        </w:rPr>
        <w:t xml:space="preserve">Phần 1 – Đề xuất 2 chiến lược phân rã Epic</w:t>
      </w:r>
    </w:p>
    <w:p>
      <w:pPr>
        <w:spacing w:after="120"/>
      </w:pPr>
      <w:r>
        <w:rPr>
          <w:b/>
          <w:bCs/>
        </w:rPr>
        <w:t xml:space="preserve">Epic: </w:t>
      </w:r>
      <w:r>
        <w:t xml:space="preserve">Hủy chuyến ghép</w:t>
      </w:r>
    </w:p>
    <w:p>
      <w:pPr>
        <w:spacing w:after="200"/>
      </w:pPr>
      <w:r>
        <w:rPr>
          <w:b/>
          <w:bCs/>
        </w:rPr>
        <w:t xml:space="preserve">Mô tả ngắn: </w:t>
      </w:r>
      <w:r>
        <w:t xml:space="preserve">Cho phép khách hàng hủy chuyến ghép, áp dụng quy tắc tính phí theo thời điểm hủy, đồng thời tính lại giá và thông báo ngay cho các khách còn lại trong chuyến.</w:t>
      </w:r>
    </w:p>
    <w:p>
      <w:pPr>
        <w:pStyle w:val="Heading2"/>
      </w:pPr>
      <w:r>
        <w:rPr>
          <w:b/>
          <w:bCs/>
        </w:rPr>
        <w:t xml:space="preserve">Chiến lược 1: Phân rã theo trạng thái chuyến (State-based / Condition-based)</w:t>
      </w:r>
    </w:p>
    <w:p>
      <w:pPr>
        <w:spacing w:after="100"/>
      </w:pPr>
      <w:r>
        <w:rPr>
          <w:b/>
          <w:bCs/>
        </w:rPr>
        <w:t xml:space="preserve">Bản chất: </w:t>
      </w:r>
      <w:r>
        <w:t xml:space="preserve">Chia Epic theo các điều kiện nghiệp vụ chính (mốc thời điểm hủy so với việc tài xế nhận chuyến) và các hành vi hệ thống đi kèm. Mỗi Feature tương ứng với một nhánh logic rõ ràng.</w:t>
      </w:r>
    </w:p>
    <w:p>
      <w:pPr>
        <w:spacing w:after="60"/>
      </w:pPr>
      <w:r>
        <w:rPr>
          <w:b/>
          <w:bCs/>
        </w:rPr>
        <w:t xml:space="preserve">Các Feature:</w:t>
      </w:r>
    </w:p>
    <w:p>
      <w:pPr>
        <w:pStyle w:val="ListParagraph"/>
        <w:numPr>
          <w:ilvl w:val="0"/>
          <w:numId w:val="2"/>
        </w:numPr>
      </w:pPr>
      <w:r>
        <w:rPr>
          <w:b/>
          <w:bCs/>
        </w:rPr>
        <w:t xml:space="preserve">Hủy chuyến miễn phí (trước khi tài xế nhận)</w:t>
      </w:r>
      <w:r>
        <w:t xml:space="preserve"> – Xử lý yêu cầu hủy khi chuyến chưa được tài xế chấp nhận, không tính phí.</w:t>
      </w:r>
    </w:p>
    <w:p>
      <w:pPr>
        <w:pStyle w:val="ListParagraph"/>
        <w:numPr>
          <w:ilvl w:val="0"/>
          <w:numId w:val="2"/>
        </w:numPr>
      </w:pPr>
      <w:r>
        <w:rPr>
          <w:b/>
          <w:bCs/>
        </w:rPr>
        <w:t xml:space="preserve">Hủy chuyến có phí (sau khi tài xế nhận)</w:t>
      </w:r>
      <w:r>
        <w:t xml:space="preserve"> – Xử lý yêu cầu hủy sau khi tài xế đã nhận, áp dụng phí 10.000đ, sử dụng timestamp máy chủ để xác định mốc.</w:t>
      </w:r>
    </w:p>
    <w:p>
      <w:pPr>
        <w:pStyle w:val="ListParagraph"/>
        <w:numPr>
          <w:ilvl w:val="0"/>
          <w:numId w:val="2"/>
        </w:numPr>
        <w:spacing w:after="200"/>
      </w:pPr>
      <w:r>
        <w:rPr>
          <w:b/>
          <w:bCs/>
        </w:rPr>
        <w:t xml:space="preserve">Tái tính giá &amp; thông báo khi có hủy</w:t>
      </w:r>
      <w:r>
        <w:t xml:space="preserve"> – Tính lại giá cho các khách còn lại trong chuyến ghép và gửi thông báo ngay lập tức.</w:t>
      </w:r>
    </w:p>
    <w:p>
      <w:pPr>
        <w:pStyle w:val="Heading2"/>
      </w:pPr>
      <w:r>
        <w:rPr>
          <w:b/>
          <w:bCs/>
        </w:rPr>
        <w:t xml:space="preserve">Chiến lược 2: Phân rã theo vai trò / đối tượng chịu ảnh hưởng (Role-based / Impact-based)</w:t>
      </w:r>
    </w:p>
    <w:p>
      <w:pPr>
        <w:spacing w:after="100"/>
      </w:pPr>
      <w:r>
        <w:rPr>
          <w:b/>
          <w:bCs/>
        </w:rPr>
        <w:t xml:space="preserve">Bản chất: </w:t>
      </w:r>
      <w:r>
        <w:t xml:space="preserve">Chia Epic theo các đối tượng chính bị ảnh hưởng hoặc tương tác với chức năng hủy chuyến. Mỗi Feature tập trung vào trải nghiệm hoặc trách nhiệm của một nhóm đối tượng.</w:t>
      </w:r>
    </w:p>
    <w:p>
      <w:pPr>
        <w:spacing w:after="60"/>
      </w:pPr>
      <w:r>
        <w:rPr>
          <w:b/>
          <w:bCs/>
        </w:rPr>
        <w:t xml:space="preserve">Các Feature:</w:t>
      </w:r>
    </w:p>
    <w:p>
      <w:pPr>
        <w:pStyle w:val="ListParagraph"/>
        <w:numPr>
          <w:ilvl w:val="0"/>
          <w:numId w:val="3"/>
        </w:numPr>
      </w:pPr>
      <w:r>
        <w:rPr>
          <w:b/>
          <w:bCs/>
        </w:rPr>
        <w:t xml:space="preserve">Khách hàng thực hiện hủy chuyến</w:t>
      </w:r>
      <w:r>
        <w:t xml:space="preserve"> – Giao diện và luồng cho phép khách bấm hủy, hiển thị thông tin phí (nếu có), xác nhận hủy.</w:t>
      </w:r>
    </w:p>
    <w:p>
      <w:pPr>
        <w:pStyle w:val="ListParagraph"/>
        <w:numPr>
          <w:ilvl w:val="0"/>
          <w:numId w:val="3"/>
        </w:numPr>
      </w:pPr>
      <w:r>
        <w:rPr>
          <w:b/>
          <w:bCs/>
        </w:rPr>
        <w:t xml:space="preserve">Hệ thống xử lý phí &amp; cập nhật trạng thái chuyến</w:t>
      </w:r>
      <w:r>
        <w:t xml:space="preserve"> – Logic backend xác định phí dựa trên timestamp server, cập nhật trạng thái chuyến, ghi nhận giao dịch phí hủy.</w:t>
      </w:r>
    </w:p>
    <w:p>
      <w:pPr>
        <w:pStyle w:val="ListParagraph"/>
        <w:numPr>
          <w:ilvl w:val="0"/>
          <w:numId w:val="3"/>
        </w:numPr>
        <w:spacing w:after="300"/>
      </w:pPr>
      <w:r>
        <w:rPr>
          <w:b/>
          <w:bCs/>
        </w:rPr>
        <w:t xml:space="preserve">Thông báo &amp; cập nhật giá cho các bên còn lại</w:t>
      </w:r>
      <w:r>
        <w:t xml:space="preserve"> – Thông báo cho khách còn lại về giá mới, thông báo cho tài xế về thay đổi thành phần chuyến.</w:t>
      </w:r>
    </w:p>
    <w:p>
      <w:pPr>
        <w:pStyle w:val="Heading1"/>
      </w:pPr>
      <w:r>
        <w:rPr>
          <w:b/>
          <w:bCs/>
        </w:rPr>
        <w:t xml:space="preserve">Phần 2 – So sánh 2 chiến lược theo tiêu chí INVEST</w:t>
      </w:r>
    </w:p>
    <w:p>
      <w:pPr>
        <w:spacing w:after="150"/>
      </w:pPr>
      <w:r>
        <w:rPr>
          <w:i/>
          <w:iCs/>
          <w:sz w:val="20"/>
          <w:szCs w:val="20"/>
        </w:rPr>
        <w:t xml:space="preserve">Bảng so sánh tập trung vào 3 tiêu chí: Independent (Độc lập), Small (Nhỏ gọn), Valuable (Có giá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c>
          <w:tcPr>
            <w:tcW w:type="dxa" w:w="1800"/>
            <w:tcBorders>
              <w:top w:val="single" w:color="000000" w:sz="1"/>
              <w:left w:val="single" w:color="000000" w:sz="1"/>
              <w:bottom w:val="single" w:color="000000" w:sz="1"/>
              <w:right w:val="single" w:color="000000" w:sz="1"/>
            </w:tcBorders>
            <w:shd w:fill="1F4E79" w:val="clear"/>
            <w:vAlign w:val="center"/>
          </w:tcPr>
          <w:p>
            <w:pPr>
              <w:jc w:val="center"/>
            </w:pPr>
            <w:r>
              <w:rPr>
                <w:rFonts w:ascii="Arial" w:cs="Arial" w:eastAsia="Arial" w:hAnsi="Arial"/>
                <w:b/>
                <w:bCs/>
                <w:color w:val="FFFFFF"/>
                <w:sz w:val="20"/>
                <w:szCs w:val="20"/>
              </w:rPr>
              <w:t xml:space="preserve">Tiêu chí</w:t>
            </w:r>
          </w:p>
        </w:tc>
        <w:tc>
          <w:tcPr>
            <w:tcW w:type="dxa" w:w="3919"/>
            <w:tcBorders>
              <w:top w:val="single" w:color="000000" w:sz="1"/>
              <w:left w:val="single" w:color="000000" w:sz="1"/>
              <w:bottom w:val="single" w:color="000000" w:sz="1"/>
              <w:right w:val="single" w:color="000000" w:sz="1"/>
            </w:tcBorders>
            <w:shd w:fill="1F4E79" w:val="clear"/>
            <w:vAlign w:val="center"/>
          </w:tcPr>
          <w:p>
            <w:pPr>
              <w:jc w:val="center"/>
            </w:pPr>
            <w:r>
              <w:rPr>
                <w:rFonts w:ascii="Arial" w:cs="Arial" w:eastAsia="Arial" w:hAnsi="Arial"/>
                <w:b/>
                <w:bCs/>
                <w:color w:val="FFFFFF"/>
                <w:sz w:val="20"/>
                <w:szCs w:val="20"/>
              </w:rPr>
              <w:t xml:space="preserve">Chiến lược 1
(State-based)</w:t>
            </w:r>
          </w:p>
        </w:tc>
        <w:tc>
          <w:tcPr>
            <w:tcW w:type="dxa" w:w="3919"/>
            <w:tcBorders>
              <w:top w:val="single" w:color="000000" w:sz="1"/>
              <w:left w:val="single" w:color="000000" w:sz="1"/>
              <w:bottom w:val="single" w:color="000000" w:sz="1"/>
              <w:right w:val="single" w:color="000000" w:sz="1"/>
            </w:tcBorders>
            <w:shd w:fill="1F4E79" w:val="clear"/>
            <w:vAlign w:val="center"/>
          </w:tcPr>
          <w:p>
            <w:pPr>
              <w:jc w:val="center"/>
            </w:pPr>
            <w:r>
              <w:rPr>
                <w:rFonts w:ascii="Arial" w:cs="Arial" w:eastAsia="Arial" w:hAnsi="Arial"/>
                <w:b/>
                <w:bCs/>
                <w:color w:val="FFFFFF"/>
                <w:sz w:val="20"/>
                <w:szCs w:val="20"/>
              </w:rPr>
              <w:t xml:space="preserve">Chiến lược 2
(Role-based)</w:t>
            </w:r>
          </w:p>
        </w:tc>
      </w:tr>
      <w:tr>
        <w:tc>
          <w:tcPr>
            <w:tcW w:type="dxa" w:w="1800"/>
            <w:tcBorders>
              <w:top w:val="single" w:color="000000" w:sz="1"/>
              <w:left w:val="single" w:color="000000" w:sz="1"/>
              <w:bottom w:val="single" w:color="000000" w:sz="1"/>
              <w:right w:val="single" w:color="000000" w:sz="1"/>
            </w:tcBorders>
            <w:shd w:fill="F2F2F2" w:val="clear"/>
            <w:vAlign w:val="center"/>
          </w:tcPr>
          <w:p>
            <w:pPr>
              <w:spacing w:after="60" w:before="60"/>
              <w:jc w:val="center"/>
            </w:pPr>
            <w:r>
              <w:rPr>
                <w:rFonts w:ascii="Arial" w:cs="Arial" w:eastAsia="Arial" w:hAnsi="Arial"/>
                <w:b/>
                <w:bCs/>
                <w:color w:val="000000"/>
                <w:sz w:val="18"/>
                <w:szCs w:val="18"/>
              </w:rPr>
              <w:t xml:space="preserve">Independent
(Độc lập)</w:t>
            </w:r>
          </w:p>
        </w:tc>
        <w:tc>
          <w:tcPr>
            <w:tcW w:type="dxa" w:w="3919"/>
            <w:tcBorders>
              <w:top w:val="single" w:color="000000" w:sz="1"/>
              <w:left w:val="single" w:color="000000" w:sz="1"/>
              <w:bottom w:val="single" w:color="000000" w:sz="1"/>
              <w:right w:val="single" w:color="000000" w:sz="1"/>
            </w:tcBorders>
            <w:vAlign w:val="center"/>
          </w:tcPr>
          <w:p>
            <w:pPr>
              <w:spacing w:after="60" w:before="60"/>
              <w:jc w:val="left"/>
            </w:pPr>
            <w:r>
              <w:rPr>
                <w:rFonts w:ascii="Arial" w:cs="Arial" w:eastAsia="Arial" w:hAnsi="Arial"/>
                <w:b w:val="false"/>
                <w:bCs w:val="false"/>
                <w:color w:val="000000"/>
                <w:sz w:val="18"/>
                <w:szCs w:val="18"/>
              </w:rPr>
              <w:t xml:space="preserve">(+) Các Feature khá độc lập về logic nghiệp vụ: hủy miễn phí, hủy có phí, tái tính giá có thể phát triển và test riêng theo nhánh điều kiện.
(–) Feature tái tính giá phụ thuộc vào việc hủy đã xảy ra, khó triển khai hoàn toàn độc lập nếu không có mock.</w:t>
            </w:r>
          </w:p>
        </w:tc>
        <w:tc>
          <w:tcPr>
            <w:tcW w:type="dxa" w:w="3919"/>
            <w:tcBorders>
              <w:top w:val="single" w:color="000000" w:sz="1"/>
              <w:left w:val="single" w:color="000000" w:sz="1"/>
              <w:bottom w:val="single" w:color="000000" w:sz="1"/>
              <w:right w:val="single" w:color="000000" w:sz="1"/>
            </w:tcBorders>
            <w:vAlign w:val="center"/>
          </w:tcPr>
          <w:p>
            <w:pPr>
              <w:spacing w:after="60" w:before="60"/>
              <w:jc w:val="left"/>
            </w:pPr>
            <w:r>
              <w:rPr>
                <w:rFonts w:ascii="Arial" w:cs="Arial" w:eastAsia="Arial" w:hAnsi="Arial"/>
                <w:b w:val="false"/>
                <w:bCs w:val="false"/>
                <w:color w:val="000000"/>
                <w:sz w:val="18"/>
                <w:szCs w:val="18"/>
              </w:rPr>
              <w:t xml:space="preserve">(–) Các Feature phụ thuộc chặt chẽ vào nhau theo luồng: khách hủy → hệ thống xử lý phí → thông báo. Khó deliver một Feature mà không cần Feature khác.
(+) Có thể mock backend để phát triển UI khách hàng độc lập.</w:t>
            </w:r>
          </w:p>
        </w:tc>
      </w:tr>
      <w:tr>
        <w:tc>
          <w:tcPr>
            <w:tcW w:type="dxa" w:w="1800"/>
            <w:tcBorders>
              <w:top w:val="single" w:color="000000" w:sz="1"/>
              <w:left w:val="single" w:color="000000" w:sz="1"/>
              <w:bottom w:val="single" w:color="000000" w:sz="1"/>
              <w:right w:val="single" w:color="000000" w:sz="1"/>
            </w:tcBorders>
            <w:shd w:fill="D6EAF8" w:val="clear"/>
            <w:vAlign w:val="center"/>
          </w:tcPr>
          <w:p>
            <w:pPr>
              <w:spacing w:after="60" w:before="60"/>
              <w:jc w:val="center"/>
            </w:pPr>
            <w:r>
              <w:rPr>
                <w:rFonts w:ascii="Arial" w:cs="Arial" w:eastAsia="Arial" w:hAnsi="Arial"/>
                <w:b/>
                <w:bCs/>
                <w:color w:val="000000"/>
                <w:sz w:val="18"/>
                <w:szCs w:val="18"/>
              </w:rPr>
              <w:t xml:space="preserve">Small
(Nhỏ gọn)</w:t>
            </w:r>
          </w:p>
        </w:tc>
        <w:tc>
          <w:tcPr>
            <w:tcW w:type="dxa" w:w="3919"/>
            <w:tcBorders>
              <w:top w:val="single" w:color="000000" w:sz="1"/>
              <w:left w:val="single" w:color="000000" w:sz="1"/>
              <w:bottom w:val="single" w:color="000000" w:sz="1"/>
              <w:right w:val="single" w:color="000000" w:sz="1"/>
            </w:tcBorders>
            <w:shd w:fill="D6EAF8" w:val="clear"/>
            <w:vAlign w:val="center"/>
          </w:tcPr>
          <w:p>
            <w:pPr>
              <w:spacing w:after="60" w:before="60"/>
              <w:jc w:val="left"/>
            </w:pPr>
            <w:r>
              <w:rPr>
                <w:rFonts w:ascii="Arial" w:cs="Arial" w:eastAsia="Arial" w:hAnsi="Arial"/>
                <w:b w:val="false"/>
                <w:bCs w:val="false"/>
                <w:color w:val="000000"/>
                <w:sz w:val="18"/>
                <w:szCs w:val="18"/>
              </w:rPr>
              <w:t xml:space="preserve">(+) Mỗi Feature tập trung vào một nhánh logic rõ ràng, phạm vi nhỏ, dễ ước lượng và hoàn thành trong 1 Sprint.
(+) Dễ chia nhỏ hơn nếu cần (ví dụ tách thông báo).</w:t>
            </w:r>
          </w:p>
        </w:tc>
        <w:tc>
          <w:tcPr>
            <w:tcW w:type="dxa" w:w="3919"/>
            <w:tcBorders>
              <w:top w:val="single" w:color="000000" w:sz="1"/>
              <w:left w:val="single" w:color="000000" w:sz="1"/>
              <w:bottom w:val="single" w:color="000000" w:sz="1"/>
              <w:right w:val="single" w:color="000000" w:sz="1"/>
            </w:tcBorders>
            <w:shd w:fill="D6EAF8" w:val="clear"/>
            <w:vAlign w:val="center"/>
          </w:tcPr>
          <w:p>
            <w:pPr>
              <w:spacing w:after="60" w:before="60"/>
              <w:jc w:val="left"/>
            </w:pPr>
            <w:r>
              <w:rPr>
                <w:rFonts w:ascii="Arial" w:cs="Arial" w:eastAsia="Arial" w:hAnsi="Arial"/>
                <w:b w:val="false"/>
                <w:bCs w:val="false"/>
                <w:color w:val="000000"/>
                <w:sz w:val="18"/>
                <w:szCs w:val="18"/>
              </w:rPr>
              <w:t xml:space="preserve">(–) Feature "Hệ thống xử lý phí &amp; cập nhật trạng thái" và "Thông báo" có thể còn khá lớn, chứa nhiều logic và edge case.
(+) Feature UI khách hàng thường nhỏ và rõ ràng.</w:t>
            </w:r>
          </w:p>
        </w:tc>
      </w:tr>
      <w:tr>
        <w:tc>
          <w:tcPr>
            <w:tcW w:type="dxa" w:w="1800"/>
            <w:tcBorders>
              <w:top w:val="single" w:color="000000" w:sz="1"/>
              <w:left w:val="single" w:color="000000" w:sz="1"/>
              <w:bottom w:val="single" w:color="000000" w:sz="1"/>
              <w:right w:val="single" w:color="000000" w:sz="1"/>
            </w:tcBorders>
            <w:shd w:fill="F2F2F2" w:val="clear"/>
            <w:vAlign w:val="center"/>
          </w:tcPr>
          <w:p>
            <w:pPr>
              <w:spacing w:after="60" w:before="60"/>
              <w:jc w:val="center"/>
            </w:pPr>
            <w:r>
              <w:rPr>
                <w:rFonts w:ascii="Arial" w:cs="Arial" w:eastAsia="Arial" w:hAnsi="Arial"/>
                <w:b/>
                <w:bCs/>
                <w:color w:val="000000"/>
                <w:sz w:val="18"/>
                <w:szCs w:val="18"/>
              </w:rPr>
              <w:t xml:space="preserve">Valuable
(Có giá trị)</w:t>
            </w:r>
          </w:p>
        </w:tc>
        <w:tc>
          <w:tcPr>
            <w:tcW w:type="dxa" w:w="3919"/>
            <w:tcBorders>
              <w:top w:val="single" w:color="000000" w:sz="1"/>
              <w:left w:val="single" w:color="000000" w:sz="1"/>
              <w:bottom w:val="single" w:color="000000" w:sz="1"/>
              <w:right w:val="single" w:color="000000" w:sz="1"/>
            </w:tcBorders>
            <w:vAlign w:val="center"/>
          </w:tcPr>
          <w:p>
            <w:pPr>
              <w:spacing w:after="60" w:before="60"/>
              <w:jc w:val="left"/>
            </w:pPr>
            <w:r>
              <w:rPr>
                <w:rFonts w:ascii="Arial" w:cs="Arial" w:eastAsia="Arial" w:hAnsi="Arial"/>
                <w:b w:val="false"/>
                <w:bCs w:val="false"/>
                <w:color w:val="000000"/>
                <w:sz w:val="18"/>
                <w:szCs w:val="18"/>
              </w:rPr>
              <w:t xml:space="preserve">(+) Mỗi Feature mang lại giá trị nghiệp vụ cụ thể: miễn phí đúng quy tắc, thu phí đúng, giữ trải nghiệm công bằng cho khách còn lại.
(+) Có thể ưu tiên Feature có phí trước nếu rủi ro gian lận cao.</w:t>
            </w:r>
          </w:p>
        </w:tc>
        <w:tc>
          <w:tcPr>
            <w:tcW w:type="dxa" w:w="3919"/>
            <w:tcBorders>
              <w:top w:val="single" w:color="000000" w:sz="1"/>
              <w:left w:val="single" w:color="000000" w:sz="1"/>
              <w:bottom w:val="single" w:color="000000" w:sz="1"/>
              <w:right w:val="single" w:color="000000" w:sz="1"/>
            </w:tcBorders>
            <w:vAlign w:val="center"/>
          </w:tcPr>
          <w:p>
            <w:pPr>
              <w:spacing w:after="60" w:before="60"/>
              <w:jc w:val="left"/>
            </w:pPr>
            <w:r>
              <w:rPr>
                <w:rFonts w:ascii="Arial" w:cs="Arial" w:eastAsia="Arial" w:hAnsi="Arial"/>
                <w:b w:val="false"/>
                <w:bCs w:val="false"/>
                <w:color w:val="000000"/>
                <w:sz w:val="18"/>
                <w:szCs w:val="18"/>
              </w:rPr>
              <w:t xml:space="preserve">(+) Feature khách hàng mang lại giá trị trực tiếp cho người dùng cuối ngay khi hoàn thành.
(–) Feature thông báo nếu làm riêng có thể chưa đủ giá trị nếu chưa có logic hủy hoàn chỉnh.</w:t>
            </w:r>
          </w:p>
        </w:tc>
      </w:tr>
    </w:tbl>
    <w:p>
      <w:pPr>
        <w:spacing w:after="300" w:before="200"/>
      </w:pPr>
      <w:r>
        <w:rPr>
          <w:b/>
          <w:bCs/>
        </w:rPr>
        <w:t xml:space="preserve">Nhận xét tổng hợp: </w:t>
      </w:r>
      <w:r>
        <w:t xml:space="preserve">Chiến lược 1 (State-based) thể hiện sự độc lập và tính nhỏ gọn tốt hơn nhờ chia theo điều kiện nghiệp vụ rõ ràng. Chiến lược 2 (Role-based) gần với luồng người dùng hơn nhưng các Feature phụ thuộc lẫn nhau mạnh hơn.</w:t>
      </w:r>
    </w:p>
    <w:p>
      <w:pPr>
        <w:pStyle w:val="Heading1"/>
      </w:pPr>
      <w:r>
        <w:rPr>
          <w:b/>
          <w:bCs/>
        </w:rPr>
        <w:t xml:space="preserve">Phần 3 – Lựa chọn chiến lược &amp; đặc tả User Story</w:t>
      </w:r>
    </w:p>
    <w:p>
      <w:pPr>
        <w:pStyle w:val="Heading2"/>
      </w:pPr>
      <w:r>
        <w:rPr>
          <w:b/>
          <w:bCs/>
        </w:rPr>
        <w:t xml:space="preserve">3.1. Lựa chọn chiến lược</w:t>
      </w:r>
    </w:p>
    <w:p>
      <w:pPr>
        <w:spacing w:after="100"/>
      </w:pPr>
      <w:r>
        <w:rPr>
          <w:b/>
          <w:bCs/>
          <w:color w:val="1F4E79"/>
        </w:rPr>
        <w:t xml:space="preserve">Chốt chọn: Chiến lược 1 – Phân rã theo trạng thái chuyến (State-based).</w:t>
      </w:r>
    </w:p>
    <w:p>
      <w:pPr>
        <w:spacing w:after="80"/>
      </w:pPr>
      <w:r>
        <w:rPr>
          <w:b/>
          <w:bCs/>
        </w:rPr>
        <w:t xml:space="preserve">Lý do: </w:t>
      </w:r>
      <w:r>
        <w:t xml:space="preserve">Chiến lược này bám sát quy tắc nghiệp vụ cốt lõi (phân biệt trước/sau khi tài xế nhận) và các ràng buộc về timestamp máy chủ. Các Feature độc lập hơn về logic, dễ ước lượng, dễ test theo từng nhánh điều kiện, và mỗi Feature đều mang giá trị nghiệp vụ rõ ràng ngay khi hoàn thành. Việc tách Feature tái tính giá giúp ưu tiên trải nghiệm công bằng cho khách còn lại – vấn đề đang được phản ánh nhiều.</w:t>
      </w:r>
    </w:p>
    <w:p>
      <w:pPr>
        <w:pStyle w:val="Heading2"/>
      </w:pPr>
      <w:r>
        <w:rPr>
          <w:b/>
          <w:bCs/>
        </w:rPr>
        <w:t xml:space="preserve">3.2. User Story</w:t>
      </w:r>
    </w:p>
    <w:p>
      <w:pPr>
        <w:spacing w:after="60"/>
      </w:pPr>
      <w:r>
        <w:rPr>
          <w:i/>
          <w:iCs/>
        </w:rPr>
        <w:t xml:space="preserve">User Story (theo Feature: Hủy chuyến có phí – sau khi tài xế nhận):</w:t>
      </w:r>
    </w:p>
    <w:p>
      <w:pPr>
        <w:shd w:fill="E8F4FD" w:val="clear"/>
        <w:spacing w:after="60" w:before="100"/>
      </w:pPr>
      <w:r>
        <w:rPr>
          <w:b/>
          <w:bCs/>
        </w:rPr>
        <w:t xml:space="preserve">Là một khách hàng đang trong chuyến ghép đã được tài xế nhận,</w:t>
      </w:r>
    </w:p>
    <w:p>
      <w:pPr>
        <w:shd w:fill="E8F4FD" w:val="clear"/>
        <w:spacing w:after="60"/>
      </w:pPr>
      <w:r>
        <w:rPr>
          <w:b/>
          <w:bCs/>
        </w:rPr>
        <w:t xml:space="preserve">Tôi muốn hủy chuyến và được tính phí hủy 10.000đ một cách chính xác dựa trên thời điểm hệ thống ghi nhận,</w:t>
      </w:r>
    </w:p>
    <w:p>
      <w:pPr>
        <w:shd w:fill="E8F4FD" w:val="clear"/>
        <w:spacing w:after="150"/>
      </w:pPr>
      <w:r>
        <w:rPr>
          <w:b/>
          <w:bCs/>
        </w:rPr>
        <w:t xml:space="preserve">Để tôi có thể chủ động hủy khi cần thiết và hiểu rõ chi phí phát sinh, đồng thời đảm bảo tính công bằng với tài xế và các khách còn lại.</w:t>
      </w:r>
    </w:p>
    <w:p>
      <w:pPr>
        <w:spacing w:after="80"/>
      </w:pPr>
      <w:r>
        <w:rPr>
          <w:b/>
          <w:bCs/>
        </w:rPr>
        <w:t xml:space="preserve">Acceptance Criteria (tóm tắt):</w:t>
      </w:r>
    </w:p>
    <w:p>
      <w:pPr>
        <w:pStyle w:val="ListParagraph"/>
        <w:numPr>
          <w:ilvl w:val="0"/>
          <w:numId w:val="4"/>
        </w:numPr>
      </w:pPr>
      <w:r>
        <w:t xml:space="preserve">Hệ thống sử dụng timestamp ghi nhận trên máy chủ để xác định thời điểm hủy so với thời điểm tài xế nhận chuyến.</w:t>
      </w:r>
    </w:p>
    <w:p>
      <w:pPr>
        <w:pStyle w:val="ListParagraph"/>
        <w:numPr>
          <w:ilvl w:val="0"/>
          <w:numId w:val="4"/>
        </w:numPr>
      </w:pPr>
      <w:r>
        <w:t xml:space="preserve">Nếu timestamp hủy &gt; timestamp nhận → áp dụng phí hủy 10.000đ và trừ vào tài khoản/ví của khách.</w:t>
      </w:r>
    </w:p>
    <w:p>
      <w:pPr>
        <w:pStyle w:val="ListParagraph"/>
        <w:numPr>
          <w:ilvl w:val="0"/>
          <w:numId w:val="4"/>
        </w:numPr>
      </w:pPr>
      <w:r>
        <w:t xml:space="preserve">Hiển thị thông báo xác nhận phí hủy trước khi khách xác nhận thao tác.</w:t>
      </w:r>
    </w:p>
    <w:p>
      <w:pPr>
        <w:pStyle w:val="ListParagraph"/>
        <w:numPr>
          <w:ilvl w:val="0"/>
          <w:numId w:val="4"/>
        </w:numPr>
        <w:spacing w:after="200"/>
      </w:pPr>
      <w:r>
        <w:t xml:space="preserve">Sau khi hủy thành công, trạng thái chuyến của khách được cập nhật và phí được ghi nhận.</w:t>
      </w:r>
    </w:p>
    <w:p>
      <w:pPr>
        <w:pStyle w:val="Heading2"/>
      </w:pPr>
      <w:r>
        <w:rPr>
          <w:b/>
          <w:bCs/>
        </w:rPr>
        <w:t xml:space="preserve">3.3. Kịch bản Given – When – Then (Edge case: hủy đúng lúc tài xế nhận)</w:t>
      </w:r>
    </w:p>
    <w:p>
      <w:pPr>
        <w:spacing w:after="100"/>
      </w:pPr>
      <w:r>
        <w:t xml:space="preserve">Tình huống: Khách bấm hủy đúng lúc tài xế vừa bấm nhận chuyến. Hệ thống lấy thời điểm ghi nhận trên máy chủ làm căn cứ tính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000000" w:sz="1"/>
              <w:left w:val="single" w:color="000000" w:sz="1"/>
              <w:bottom w:val="single" w:color="000000" w:sz="1"/>
              <w:right w:val="single" w:color="000000" w:sz="1"/>
            </w:tcBorders>
            <w:shd w:fill="1F4E79" w:val="clear"/>
            <w:vAlign w:val="center"/>
          </w:tcPr>
          <w:p>
            <w:pPr>
              <w:jc w:val="center"/>
            </w:pPr>
            <w:r>
              <w:rPr>
                <w:rFonts w:ascii="Arial" w:cs="Arial" w:eastAsia="Arial" w:hAnsi="Arial"/>
                <w:b/>
                <w:bCs/>
                <w:color w:val="FFFFFF"/>
                <w:sz w:val="20"/>
                <w:szCs w:val="20"/>
              </w:rPr>
              <w:t xml:space="preserve">Thành phần</w:t>
            </w:r>
          </w:p>
        </w:tc>
        <w:tc>
          <w:tcPr>
            <w:tcW w:type="dxa" w:w="7838"/>
            <w:tcBorders>
              <w:top w:val="single" w:color="000000" w:sz="1"/>
              <w:left w:val="single" w:color="000000" w:sz="1"/>
              <w:bottom w:val="single" w:color="000000" w:sz="1"/>
              <w:right w:val="single" w:color="000000" w:sz="1"/>
            </w:tcBorders>
            <w:shd w:fill="1F4E79" w:val="cle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000000" w:sz="1"/>
              <w:left w:val="single" w:color="000000" w:sz="1"/>
              <w:bottom w:val="single" w:color="000000" w:sz="1"/>
              <w:right w:val="single" w:color="000000" w:sz="1"/>
            </w:tcBorders>
            <w:shd w:fill="F2F2F2" w:val="clear"/>
            <w:vAlign w:val="center"/>
          </w:tcPr>
          <w:p>
            <w:pPr>
              <w:spacing w:after="60" w:before="60"/>
              <w:jc w:val="center"/>
            </w:pPr>
            <w:r>
              <w:rPr>
                <w:rFonts w:ascii="Arial" w:cs="Arial" w:eastAsia="Arial" w:hAnsi="Arial"/>
                <w:b/>
                <w:bCs/>
                <w:color w:val="000000"/>
                <w:sz w:val="18"/>
                <w:szCs w:val="18"/>
              </w:rPr>
              <w:t xml:space="preserve">Given</w:t>
            </w:r>
          </w:p>
        </w:tc>
        <w:tc>
          <w:tcPr>
            <w:tcW w:type="dxa" w:w="7838"/>
            <w:tcBorders>
              <w:top w:val="single" w:color="000000" w:sz="1"/>
              <w:left w:val="single" w:color="000000" w:sz="1"/>
              <w:bottom w:val="single" w:color="000000" w:sz="1"/>
              <w:right w:val="single" w:color="000000" w:sz="1"/>
            </w:tcBorders>
            <w:vAlign w:val="center"/>
          </w:tcPr>
          <w:p>
            <w:pPr>
              <w:spacing w:after="60" w:before="60"/>
              <w:jc w:val="left"/>
            </w:pPr>
            <w:r>
              <w:rPr>
                <w:rFonts w:ascii="Arial" w:cs="Arial" w:eastAsia="Arial" w:hAnsi="Arial"/>
                <w:b w:val="false"/>
                <w:bCs w:val="false"/>
                <w:color w:val="000000"/>
                <w:sz w:val="18"/>
                <w:szCs w:val="18"/>
              </w:rPr>
              <w:t xml:space="preserve">Khách hàng A đang trong chuyến ghép ở trạng thái "Đang tìm tài xế". Tài xế B vừa gửi yêu cầu nhận chuyến. Hệ thống ghi nhận timestamp nhận chuyến của tài xế B là T1 trên máy chủ. Giao diện khách hàng A vẫn đang hiển thị nút "Hủy chuyến".</w:t>
            </w:r>
          </w:p>
        </w:tc>
      </w:tr>
      <w:tr>
        <w:tc>
          <w:tcPr>
            <w:tcW w:type="dxa" w:w="1800"/>
            <w:tcBorders>
              <w:top w:val="single" w:color="000000" w:sz="1"/>
              <w:left w:val="single" w:color="000000" w:sz="1"/>
              <w:bottom w:val="single" w:color="000000" w:sz="1"/>
              <w:right w:val="single" w:color="000000" w:sz="1"/>
            </w:tcBorders>
            <w:shd w:fill="D6EAF8" w:val="clear"/>
            <w:vAlign w:val="center"/>
          </w:tcPr>
          <w:p>
            <w:pPr>
              <w:spacing w:after="60" w:before="60"/>
              <w:jc w:val="center"/>
            </w:pPr>
            <w:r>
              <w:rPr>
                <w:rFonts w:ascii="Arial" w:cs="Arial" w:eastAsia="Arial" w:hAnsi="Arial"/>
                <w:b/>
                <w:bCs/>
                <w:color w:val="000000"/>
                <w:sz w:val="18"/>
                <w:szCs w:val="18"/>
              </w:rPr>
              <w:t xml:space="preserve">When</w:t>
            </w:r>
          </w:p>
        </w:tc>
        <w:tc>
          <w:tcPr>
            <w:tcW w:type="dxa" w:w="7838"/>
            <w:tcBorders>
              <w:top w:val="single" w:color="000000" w:sz="1"/>
              <w:left w:val="single" w:color="000000" w:sz="1"/>
              <w:bottom w:val="single" w:color="000000" w:sz="1"/>
              <w:right w:val="single" w:color="000000" w:sz="1"/>
            </w:tcBorders>
            <w:shd w:fill="D6EAF8" w:val="clear"/>
            <w:vAlign w:val="center"/>
          </w:tcPr>
          <w:p>
            <w:pPr>
              <w:spacing w:after="60" w:before="60"/>
              <w:jc w:val="left"/>
            </w:pPr>
            <w:r>
              <w:rPr>
                <w:rFonts w:ascii="Arial" w:cs="Arial" w:eastAsia="Arial" w:hAnsi="Arial"/>
                <w:b w:val="false"/>
                <w:bCs w:val="false"/>
                <w:color w:val="000000"/>
                <w:sz w:val="18"/>
                <w:szCs w:val="18"/>
              </w:rPr>
              <w:t xml:space="preserve">Khách hàng A bấm nút "Hủy chuyến" và xác nhận. Yêu cầu hủy được gửi đến máy chủ và được ghi nhận với timestamp T2 (T2 ≥ T1 do độ trễ mạng hoặc xử lý gần như đồng thời).</w:t>
            </w:r>
          </w:p>
        </w:tc>
      </w:tr>
      <w:tr>
        <w:tc>
          <w:tcPr>
            <w:tcW w:type="dxa" w:w="1800"/>
            <w:tcBorders>
              <w:top w:val="single" w:color="000000" w:sz="1"/>
              <w:left w:val="single" w:color="000000" w:sz="1"/>
              <w:bottom w:val="single" w:color="000000" w:sz="1"/>
              <w:right w:val="single" w:color="000000" w:sz="1"/>
            </w:tcBorders>
            <w:shd w:fill="F2F2F2" w:val="clear"/>
            <w:vAlign w:val="center"/>
          </w:tcPr>
          <w:p>
            <w:pPr>
              <w:spacing w:after="60" w:before="60"/>
              <w:jc w:val="center"/>
            </w:pPr>
            <w:r>
              <w:rPr>
                <w:rFonts w:ascii="Arial" w:cs="Arial" w:eastAsia="Arial" w:hAnsi="Arial"/>
                <w:b/>
                <w:bCs/>
                <w:color w:val="000000"/>
                <w:sz w:val="18"/>
                <w:szCs w:val="18"/>
              </w:rPr>
              <w:t xml:space="preserve">Then</w:t>
            </w:r>
          </w:p>
        </w:tc>
        <w:tc>
          <w:tcPr>
            <w:tcW w:type="dxa" w:w="7838"/>
            <w:tcBorders>
              <w:top w:val="single" w:color="000000" w:sz="1"/>
              <w:left w:val="single" w:color="000000" w:sz="1"/>
              <w:bottom w:val="single" w:color="000000" w:sz="1"/>
              <w:right w:val="single" w:color="000000" w:sz="1"/>
            </w:tcBorders>
            <w:vAlign w:val="center"/>
          </w:tcPr>
          <w:p>
            <w:pPr>
              <w:spacing w:after="60" w:before="60"/>
              <w:jc w:val="left"/>
            </w:pPr>
            <w:r>
              <w:rPr>
                <w:rFonts w:ascii="Arial" w:cs="Arial" w:eastAsia="Arial" w:hAnsi="Arial"/>
                <w:b w:val="false"/>
                <w:bCs w:val="false"/>
                <w:color w:val="000000"/>
                <w:sz w:val="18"/>
                <w:szCs w:val="18"/>
              </w:rPr>
              <w:t xml:space="preserve">Hệ thống so sánh T2 và T1 trên máy chủ. Vì T2 ≥ T1, hệ thống áp dụng phí hủy 10.000đ cho khách A, cập nhật trạng thái chuyến của A thành "Đã hủy", trừ phí, đồng thời kích hoạt tái tính giá cho các khách còn lại trong chuyến và gửi thông báo ngay. Khách A nhận được thông báo đã hủy thành công kèm phí 10.000đ.</w:t>
            </w:r>
          </w:p>
        </w:tc>
      </w:tr>
    </w:tbl>
    <w:p>
      <w:pPr>
        <w:spacing w:before="300"/>
        <w:jc w:val="center"/>
      </w:pPr>
      <w:r>
        <w:rPr>
          <w:i/>
          <w:iCs/>
          <w:color w:val="666666"/>
          <w:sz w:val="20"/>
          <w:szCs w:val="20"/>
        </w:rPr>
        <w:t xml:space="preserve">— Kết thúc bài làm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RikkeiGo – Phân rã Epic Hủy chuyến ghép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style>
  <w:style w:type="paragraph" w:styleId="Heading2">
    <w:name w:val="Heading 2"/>
    <w:basedOn w:val="Normal"/>
    <w:next w:val="Normal"/>
  </w:style>
  <w:style w:type="paragraph" w:styleId="Heading3">
    <w:name w:val="Heading 3"/>
    <w:basedOn w:val="Normal"/>
    <w:next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2026-10-07T13:42:05.207Z</dcterms:created>
  <dcterms:modified xsi:type="dcterms:W3CDTF">2026-10-07T13:42:05.207Z</dcterms:modified>
</cp:coreProperties>
</file>

<file path=docProps/custom.xml><?xml version="1.0" encoding="utf-8"?>
<Properties xmlns="http://schemas.openxmlformats.org/officeDocument/2006/custom-properties" xmlns:vt="http://schemas.openxmlformats.org/officeDocument/2006/docPropsVTypes"/>
</file>