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40" w:before="0"/>
        <w:jc w:val="center"/>
      </w:pPr>
      <w:r>
        <w:rPr>
          <w:rFonts w:ascii="Times New Roman" w:cs="Times New Roman" w:eastAsia="Times New Roman" w:hAnsi="Times New Roman"/>
          <w:b/>
          <w:bCs/>
          <w:color w:val="000000"/>
          <w:sz w:val="24"/>
          <w:szCs w:val="24"/>
        </w:rPr>
        <w:t xml:space="preserve">UNIVERSITY OF ECONOMICS</w:t>
      </w:r>
    </w:p>
    <w:p>
      <w:pPr>
        <w:spacing w:after="200" w:before="0"/>
        <w:jc w:val="center"/>
      </w:pPr>
      <w:r>
        <w:rPr>
          <w:rFonts w:ascii="Times New Roman" w:cs="Times New Roman" w:eastAsia="Times New Roman" w:hAnsi="Times New Roman"/>
          <w:color w:val="000000"/>
          <w:sz w:val="24"/>
          <w:szCs w:val="24"/>
        </w:rPr>
        <w:t xml:space="preserve">FACULTY OF MANAGEMENT INFORMATION SYSTEMS</w:t>
      </w:r>
    </w:p>
    <w:p>
      <w:pPr>
        <w:spacing w:after="80" w:before="0"/>
        <w:jc w:val="center"/>
      </w:pPr>
      <w:r>
        <w:rPr>
          <w:rFonts w:ascii="Times New Roman" w:cs="Times New Roman" w:eastAsia="Times New Roman" w:hAnsi="Times New Roman"/>
          <w:b/>
          <w:bCs/>
          <w:color w:val="000000"/>
          <w:sz w:val="28"/>
          <w:szCs w:val="28"/>
        </w:rPr>
        <w:t xml:space="preserve">PROJECT FINAL REPORT</w:t>
      </w:r>
    </w:p>
    <w:p>
      <w:pPr>
        <w:spacing w:after="80" w:before="0"/>
        <w:jc w:val="center"/>
      </w:pPr>
      <w:r>
        <w:rPr>
          <w:rFonts w:ascii="Times New Roman" w:cs="Times New Roman" w:eastAsia="Times New Roman" w:hAnsi="Times New Roman"/>
          <w:b/>
          <w:bCs/>
          <w:color w:val="000000"/>
          <w:sz w:val="36"/>
          <w:szCs w:val="36"/>
        </w:rPr>
        <w:t xml:space="preserve">BUSINESS INTELLIGENCE &amp; DATA ANALYTICS</w:t>
      </w:r>
    </w:p>
    <w:p>
      <w:pPr>
        <w:spacing w:after="40" w:before="0"/>
        <w:jc w:val="center"/>
      </w:pPr>
      <w:r>
        <w:rPr>
          <w:rFonts w:ascii="Times New Roman" w:cs="Times New Roman" w:eastAsia="Times New Roman" w:hAnsi="Times New Roman"/>
          <w:i/>
          <w:iCs/>
          <w:color w:val="000000"/>
          <w:sz w:val="26"/>
          <w:szCs w:val="26"/>
        </w:rPr>
        <w:t xml:space="preserve">Business Performance Analysis — VNRetail Conglomerate</w:t>
      </w:r>
    </w:p>
    <w:p>
      <w:pPr>
        <w:spacing w:after="600" w:before="0"/>
        <w:jc w:val="center"/>
      </w:pPr>
      <w:r>
        <w:rPr>
          <w:rFonts w:ascii="Times New Roman" w:cs="Times New Roman" w:eastAsia="Times New Roman" w:hAnsi="Times New Roman"/>
          <w:color w:val="000000"/>
          <w:sz w:val="24"/>
          <w:szCs w:val="24"/>
        </w:rPr>
        <w:t xml:space="preserve">Period: 2021 – 2025</w:t>
      </w:r>
    </w:p>
    <w:p>
      <w:pPr>
        <w:pBdr>
          <w:top w:val="single" w:color="000000" w:sz="6" w:space="4"/>
          <w:bottom w:val="single" w:color="000000" w:sz="6" w:space="4"/>
        </w:pBdr>
        <w:spacing w:after="400" w:before="0"/>
        <w:jc w:val="center"/>
      </w:pPr>
    </w:p>
    <w:p>
      <w:pPr>
        <w:spacing w:after="0" w:before="640"/>
      </w:pPr>
    </w:p>
    <w:p>
      <w:pPr>
        <w:spacing w:after="0" w:before="400"/>
        <w:jc w:val="center"/>
      </w:pPr>
      <w:r>
        <w:rPr>
          <w:rFonts w:ascii="Times New Roman" w:cs="Times New Roman" w:eastAsia="Times New Roman" w:hAnsi="Times New Roman"/>
          <w:color w:val="000000"/>
          <w:sz w:val="24"/>
          <w:szCs w:val="24"/>
        </w:rPr>
        <w:t xml:space="preserve">Hanoi, June 2026</w:t>
      </w:r>
    </w:p>
    <w:p>
      <w:r>
        <w:br w:type="page"/>
      </w:r>
    </w:p>
    <w:p>
      <w:pPr>
        <w:pStyle w:val="Heading1"/>
        <w:spacing w:after="160" w:before="400"/>
      </w:pPr>
      <w:r>
        <w:rPr>
          <w:rFonts w:ascii="Times New Roman" w:cs="Times New Roman" w:eastAsia="Times New Roman" w:hAnsi="Times New Roman"/>
          <w:b/>
          <w:bCs/>
          <w:color w:val="000000"/>
          <w:sz w:val="32"/>
          <w:szCs w:val="32"/>
        </w:rPr>
        <w:t xml:space="preserve">EXECUTIVE SUMMARY</w:t>
      </w:r>
    </w:p>
    <w:p>
      <w:pPr>
        <w:spacing w:after="80" w:before="60" w:line="300"/>
      </w:pPr>
      <w:r>
        <w:rPr>
          <w:rFonts w:ascii="Times New Roman" w:cs="Times New Roman" w:eastAsia="Times New Roman" w:hAnsi="Times New Roman"/>
          <w:color w:val="000000"/>
          <w:sz w:val="24"/>
          <w:szCs w:val="24"/>
        </w:rPr>
        <w:t xml:space="preserve">This report presents the results of building a Business Intelligence (BI) system to analyze the operational performance of VNRetail Conglomerate for the period 2021–2025. The project encompasses the complete BI lifecycle: data collection from three heterogeneous sources, data warehouse design, ETL pipeline engineering, data quality management, and interactive dashboard visualization across five thematic Tableau dashboards.</w:t>
      </w:r>
    </w:p>
    <w:p>
      <w:pPr>
        <w:spacing w:after="80" w:before="60" w:line="300"/>
      </w:pPr>
      <w:r>
        <w:rPr>
          <w:rFonts w:ascii="Times New Roman" w:cs="Times New Roman" w:eastAsia="Times New Roman" w:hAnsi="Times New Roman"/>
          <w:color w:val="000000"/>
          <w:sz w:val="24"/>
          <w:szCs w:val="24"/>
        </w:rPr>
        <w:t xml:space="preserve">The simulated dataset comprises 14,981 sales orders, 40 products across 7 categories, distributed through 9 branches in 3 geographic regions, collected via 6 sales channels over 5 consecutive years. This data is enriched with two supplementary sources: Facebook Ads spend records (2,300 rows, 9 campaigns) and daily weather observations (5,478 records across 3 regions).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4"/>
              <w:left w:val="single" w:color="000000" w:sz="4"/>
              <w:bottom w:val="single" w:color="000000" w:sz="4"/>
              <w:right w:val="single" w:color="000000" w:sz="4"/>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Total Revenue</w:t>
            </w:r>
          </w:p>
          <w:p>
            <w:pPr>
              <w:jc w:val="center"/>
            </w:pPr>
            <w:r>
              <w:rPr>
                <w:rFonts w:ascii="Times New Roman" w:cs="Times New Roman" w:eastAsia="Times New Roman" w:hAnsi="Times New Roman"/>
                <w:b/>
                <w:bCs/>
                <w:color w:val="000000"/>
                <w:sz w:val="32"/>
                <w:szCs w:val="32"/>
              </w:rPr>
              <w:t xml:space="preserve">99.1 B</w:t>
            </w:r>
          </w:p>
          <w:p>
            <w:pPr>
              <w:jc w:val="center"/>
            </w:pPr>
            <w:r>
              <w:rPr>
                <w:rFonts w:ascii="Times New Roman" w:cs="Times New Roman" w:eastAsia="Times New Roman" w:hAnsi="Times New Roman"/>
                <w:i/>
                <w:iCs/>
                <w:color w:val="000000"/>
                <w:sz w:val="18"/>
                <w:szCs w:val="18"/>
              </w:rPr>
              <w:t xml:space="preserve">VND × 1,000 | 2021–2025</w:t>
            </w:r>
          </w:p>
        </w:tc>
        <w:tc>
          <w:tcPr>
            <w:tcW w:type="dxa" w:w="2340"/>
            <w:tcBorders>
              <w:top w:val="single" w:color="000000" w:sz="4"/>
              <w:left w:val="single" w:color="000000" w:sz="4"/>
              <w:bottom w:val="single" w:color="000000" w:sz="4"/>
              <w:right w:val="single" w:color="000000" w:sz="4"/>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Total Profit</w:t>
            </w:r>
          </w:p>
          <w:p>
            <w:pPr>
              <w:jc w:val="center"/>
            </w:pPr>
            <w:r>
              <w:rPr>
                <w:rFonts w:ascii="Times New Roman" w:cs="Times New Roman" w:eastAsia="Times New Roman" w:hAnsi="Times New Roman"/>
                <w:b/>
                <w:bCs/>
                <w:color w:val="000000"/>
                <w:sz w:val="32"/>
                <w:szCs w:val="32"/>
              </w:rPr>
              <w:t xml:space="preserve">22.9 B</w:t>
            </w:r>
          </w:p>
          <w:p>
            <w:pPr>
              <w:jc w:val="center"/>
            </w:pPr>
            <w:r>
              <w:rPr>
                <w:rFonts w:ascii="Times New Roman" w:cs="Times New Roman" w:eastAsia="Times New Roman" w:hAnsi="Times New Roman"/>
                <w:i/>
                <w:iCs/>
                <w:color w:val="000000"/>
                <w:sz w:val="18"/>
                <w:szCs w:val="18"/>
              </w:rPr>
              <w:t xml:space="preserve">23.8% avg margin</w:t>
            </w:r>
          </w:p>
        </w:tc>
        <w:tc>
          <w:tcPr>
            <w:tcW w:type="dxa" w:w="2340"/>
            <w:tcBorders>
              <w:top w:val="single" w:color="000000" w:sz="4"/>
              <w:left w:val="single" w:color="000000" w:sz="4"/>
              <w:bottom w:val="single" w:color="000000" w:sz="4"/>
              <w:right w:val="single" w:color="000000" w:sz="4"/>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Total Orders</w:t>
            </w:r>
          </w:p>
          <w:p>
            <w:pPr>
              <w:jc w:val="center"/>
            </w:pPr>
            <w:r>
              <w:rPr>
                <w:rFonts w:ascii="Times New Roman" w:cs="Times New Roman" w:eastAsia="Times New Roman" w:hAnsi="Times New Roman"/>
                <w:b/>
                <w:bCs/>
                <w:color w:val="000000"/>
                <w:sz w:val="32"/>
                <w:szCs w:val="32"/>
              </w:rPr>
              <w:t xml:space="preserve">14,981</w:t>
            </w:r>
          </w:p>
          <w:p>
            <w:pPr>
              <w:jc w:val="center"/>
            </w:pPr>
            <w:r>
              <w:rPr>
                <w:rFonts w:ascii="Times New Roman" w:cs="Times New Roman" w:eastAsia="Times New Roman" w:hAnsi="Times New Roman"/>
                <w:i/>
                <w:iCs/>
                <w:color w:val="000000"/>
                <w:sz w:val="18"/>
                <w:szCs w:val="18"/>
              </w:rPr>
              <w:t xml:space="preserve">9 branches | 5 years</w:t>
            </w:r>
          </w:p>
        </w:tc>
        <w:tc>
          <w:tcPr>
            <w:tcW w:type="dxa" w:w="2340"/>
            <w:tcBorders>
              <w:top w:val="single" w:color="000000" w:sz="4"/>
              <w:left w:val="single" w:color="000000" w:sz="4"/>
              <w:bottom w:val="single" w:color="000000" w:sz="4"/>
              <w:right w:val="single" w:color="000000" w:sz="4"/>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Products</w:t>
            </w:r>
          </w:p>
          <w:p>
            <w:pPr>
              <w:jc w:val="center"/>
            </w:pPr>
            <w:r>
              <w:rPr>
                <w:rFonts w:ascii="Times New Roman" w:cs="Times New Roman" w:eastAsia="Times New Roman" w:hAnsi="Times New Roman"/>
                <w:b/>
                <w:bCs/>
                <w:color w:val="000000"/>
                <w:sz w:val="32"/>
                <w:szCs w:val="32"/>
              </w:rPr>
              <w:t xml:space="preserve">40</w:t>
            </w:r>
          </w:p>
          <w:p>
            <w:pPr>
              <w:jc w:val="center"/>
            </w:pPr>
            <w:r>
              <w:rPr>
                <w:rFonts w:ascii="Times New Roman" w:cs="Times New Roman" w:eastAsia="Times New Roman" w:hAnsi="Times New Roman"/>
                <w:i/>
                <w:iCs/>
                <w:color w:val="000000"/>
                <w:sz w:val="18"/>
                <w:szCs w:val="18"/>
              </w:rPr>
              <w:t xml:space="preserve">7 categories</w:t>
            </w:r>
          </w:p>
        </w:tc>
      </w:tr>
    </w:tbl>
    <w:p>
      <w:pPr>
        <w:spacing w:after="0" w:before="80"/>
      </w:pPr>
    </w:p>
    <w:p>
      <w:pPr>
        <w:spacing w:after="80" w:before="60" w:line="300"/>
      </w:pPr>
      <w:r>
        <w:rPr>
          <w:rFonts w:ascii="Times New Roman" w:cs="Times New Roman" w:eastAsia="Times New Roman" w:hAnsi="Times New Roman"/>
          <w:color w:val="000000"/>
          <w:sz w:val="24"/>
          <w:szCs w:val="24"/>
        </w:rPr>
        <w:t xml:space="preserve">Key findings: Instant noodles (Mi an lien) dominate revenue at 36.9% share but carry the lowest margin at 14.4%. Soft drinks (Nuoc giai khat) exhibit the highest profit margin at 37.1% despite only 5.3% revenue share — a prime upselling opportunity. The Northern region leads geographic performance at 40.0%, while Traditional Trade remains the dominant channel at 25.5%. The year 2022 saw the sharpest revenue growth (+41.7% YoY), driven by post-pandemic demand recovery and campaign expansion; however, profit margins have been on a declining trend since 2023 due to rising raw material costs.</w:t>
      </w:r>
    </w:p>
    <w:p>
      <w:r>
        <w:br w:type="page"/>
      </w:r>
    </w:p>
    <w:p>
      <w:pPr>
        <w:pStyle w:val="Heading1"/>
        <w:spacing w:after="160" w:before="400"/>
      </w:pPr>
      <w:r>
        <w:rPr>
          <w:rFonts w:ascii="Times New Roman" w:cs="Times New Roman" w:eastAsia="Times New Roman" w:hAnsi="Times New Roman"/>
          <w:b/>
          <w:bCs/>
          <w:color w:val="000000"/>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00"/>
      </w:pPr>
      <w:r>
        <w:rPr>
          <w:rFonts w:ascii="Times New Roman" w:cs="Times New Roman" w:eastAsia="Times New Roman" w:hAnsi="Times New Roman"/>
          <w:b/>
          <w:bCs/>
          <w:color w:val="000000"/>
          <w:sz w:val="32"/>
          <w:szCs w:val="32"/>
        </w:rPr>
        <w:t xml:space="preserve">CHAPTER 1: PROJECT INTRODUCTION</w:t>
      </w:r>
    </w:p>
    <w:p>
      <w:pPr>
        <w:pStyle w:val="Heading2"/>
        <w:spacing w:after="120" w:before="280"/>
      </w:pPr>
      <w:r>
        <w:rPr>
          <w:rFonts w:ascii="Times New Roman" w:cs="Times New Roman" w:eastAsia="Times New Roman" w:hAnsi="Times New Roman"/>
          <w:b/>
          <w:bCs/>
          <w:color w:val="000000"/>
          <w:sz w:val="28"/>
          <w:szCs w:val="28"/>
        </w:rPr>
        <w:t xml:space="preserve">1.1 Background</w:t>
      </w:r>
    </w:p>
    <w:p>
      <w:pPr>
        <w:spacing w:after="80" w:before="60" w:line="300"/>
      </w:pPr>
      <w:r>
        <w:rPr>
          <w:rFonts w:ascii="Times New Roman" w:cs="Times New Roman" w:eastAsia="Times New Roman" w:hAnsi="Times New Roman"/>
          <w:color w:val="000000"/>
          <w:sz w:val="24"/>
          <w:szCs w:val="24"/>
        </w:rPr>
        <w:t xml:space="preserve">In the increasingly competitive Fast-Moving Consumer Goods (FMCG) market in Vietnam, large conglomerates like VNRetail require rapid, comprehensive, and accurate business data analysis capabilities to support strategic decision-making. However, business data is typically scattered across multiple systems — ERP, CRM, digital advertising platforms, and market data — making consolidation and analysis complex and time-consuming.</w:t>
      </w:r>
    </w:p>
    <w:p>
      <w:pPr>
        <w:spacing w:after="80" w:before="60" w:line="300"/>
      </w:pPr>
      <w:r>
        <w:rPr>
          <w:rFonts w:ascii="Times New Roman" w:cs="Times New Roman" w:eastAsia="Times New Roman" w:hAnsi="Times New Roman"/>
          <w:color w:val="000000"/>
          <w:sz w:val="24"/>
          <w:szCs w:val="24"/>
        </w:rPr>
        <w:t xml:space="preserve">Business Intelligence provides an integrated solution, enabling data from multiple sources to be consolidated into a unified Data Warehouse, from which interactive reports and dashboards serve decision-making at both operational and strategic levels.</w:t>
      </w:r>
    </w:p>
    <w:p>
      <w:pPr>
        <w:pStyle w:val="Heading2"/>
        <w:spacing w:after="120" w:before="280"/>
      </w:pPr>
      <w:r>
        <w:rPr>
          <w:rFonts w:ascii="Times New Roman" w:cs="Times New Roman" w:eastAsia="Times New Roman" w:hAnsi="Times New Roman"/>
          <w:b/>
          <w:bCs/>
          <w:color w:val="000000"/>
          <w:sz w:val="28"/>
          <w:szCs w:val="28"/>
        </w:rPr>
        <w:t xml:space="preserve">1.2 Project Objectives</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Build a complete end-to-end BI system encompassing data collection, processing, storage, and visualization of business performance data.</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Design a Data Warehouse architecture using the Star Schema model suitable for revenue and marketing analytics.</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Build an automated ETL pipeline with a Streamlit-based UI for data validation and incremental loading.</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Develop 5 thematic Tableau dashboards covering executive overview, product &amp; category, geography &amp; branch, time &amp; channel, and customer segment analysis.</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Extract valuable business insights and propose strategic recommendations based on analytical findings.</w:t>
      </w:r>
    </w:p>
    <w:p>
      <w:pPr>
        <w:pStyle w:val="Heading2"/>
        <w:spacing w:after="120" w:before="280"/>
      </w:pPr>
      <w:r>
        <w:rPr>
          <w:rFonts w:ascii="Times New Roman" w:cs="Times New Roman" w:eastAsia="Times New Roman" w:hAnsi="Times New Roman"/>
          <w:b/>
          <w:bCs/>
          <w:color w:val="000000"/>
          <w:sz w:val="28"/>
          <w:szCs w:val="28"/>
        </w:rPr>
        <w:t xml:space="preserve">1.3 Project Scope</w:t>
      </w:r>
    </w:p>
    <w:p>
      <w:pPr>
        <w:spacing w:after="80" w:before="60" w:line="300"/>
      </w:pPr>
      <w:r>
        <w:rPr>
          <w:rFonts w:ascii="Times New Roman" w:cs="Times New Roman" w:eastAsia="Times New Roman" w:hAnsi="Times New Roman"/>
          <w:color w:val="000000"/>
          <w:sz w:val="24"/>
          <w:szCs w:val="24"/>
        </w:rPr>
        <w:t xml:space="preserve">The project focuses on analyzing simulated internal business data of VNRetail Conglomerate over the 5-year period 2021–2025, including:</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Sales data: 14,981 orders, 40 products, 7 categories, 9 branches, 4 customer segments</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Advertising data: Facebook Ads spend across 9 campaigns, 2,300 daily records</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Supplementary data: Daily weather observations across 3 regions (5,478 records from Open-Meteo API)</w:t>
      </w:r>
    </w:p>
    <w:p>
      <w:pPr>
        <w:spacing w:after="80" w:before="60" w:line="300"/>
      </w:pPr>
      <w:r>
        <w:rPr>
          <w:rFonts w:ascii="Times New Roman" w:cs="Times New Roman" w:eastAsia="Times New Roman" w:hAnsi="Times New Roman"/>
          <w:color w:val="000000"/>
          <w:sz w:val="24"/>
          <w:szCs w:val="24"/>
        </w:rPr>
        <w:t xml:space="preserve">The project does not cover consolidated financial data at the holding company level, competitor data, or external market benchmarks.</w:t>
      </w:r>
    </w:p>
    <w:p>
      <w:pPr>
        <w:pStyle w:val="Heading2"/>
        <w:spacing w:after="120" w:before="280"/>
      </w:pPr>
      <w:r>
        <w:rPr>
          <w:rFonts w:ascii="Times New Roman" w:cs="Times New Roman" w:eastAsia="Times New Roman" w:hAnsi="Times New Roman"/>
          <w:b/>
          <w:bCs/>
          <w:color w:val="000000"/>
          <w:sz w:val="28"/>
          <w:szCs w:val="28"/>
        </w:rPr>
        <w:t xml:space="preserve">1.4 Report Structure</w:t>
      </w:r>
    </w:p>
    <w:p>
      <w:pPr>
        <w:spacing w:after="80" w:before="60" w:line="300"/>
      </w:pPr>
      <w:r>
        <w:rPr>
          <w:rFonts w:ascii="Times New Roman" w:cs="Times New Roman" w:eastAsia="Times New Roman" w:hAnsi="Times New Roman"/>
          <w:color w:val="000000"/>
          <w:sz w:val="24"/>
          <w:szCs w:val="24"/>
        </w:rPr>
        <w:t xml:space="preserve">The report is organized into 6 chapters: Chapter 1 introduces the project; Chapter 2 presents the methodology and system architecture; Chapter 3 describes the dataset; Chapter 4 covers the data pipeline and validation; Chapter 5 is the core analytical chapter with detailed analysis of all dashboard charts; Chapter 6 summarizes conclusions and strategic recommendations.</w:t>
      </w:r>
    </w:p>
    <w:p>
      <w:r>
        <w:br w:type="page"/>
      </w:r>
    </w:p>
    <w:p>
      <w:pPr>
        <w:pStyle w:val="Heading1"/>
        <w:spacing w:after="160" w:before="400"/>
      </w:pPr>
      <w:r>
        <w:rPr>
          <w:rFonts w:ascii="Times New Roman" w:cs="Times New Roman" w:eastAsia="Times New Roman" w:hAnsi="Times New Roman"/>
          <w:b/>
          <w:bCs/>
          <w:color w:val="000000"/>
          <w:sz w:val="32"/>
          <w:szCs w:val="32"/>
        </w:rPr>
        <w:t xml:space="preserve">CHAPTER 2: METHODOLOGY AND SYSTEM ARCHITECTURE</w:t>
      </w:r>
    </w:p>
    <w:p>
      <w:pPr>
        <w:pStyle w:val="Heading2"/>
        <w:spacing w:after="120" w:before="280"/>
      </w:pPr>
      <w:r>
        <w:rPr>
          <w:rFonts w:ascii="Times New Roman" w:cs="Times New Roman" w:eastAsia="Times New Roman" w:hAnsi="Times New Roman"/>
          <w:b/>
          <w:bCs/>
          <w:color w:val="000000"/>
          <w:sz w:val="28"/>
          <w:szCs w:val="28"/>
        </w:rPr>
        <w:t xml:space="preserve">2.1 Overall Architecture</w:t>
      </w:r>
    </w:p>
    <w:p>
      <w:pPr>
        <w:spacing w:after="80" w:before="60" w:line="300"/>
      </w:pPr>
      <w:r>
        <w:rPr>
          <w:rFonts w:ascii="Times New Roman" w:cs="Times New Roman" w:eastAsia="Times New Roman" w:hAnsi="Times New Roman"/>
          <w:color w:val="000000"/>
          <w:sz w:val="24"/>
          <w:szCs w:val="24"/>
        </w:rPr>
        <w:t xml:space="preserve">The BI system is built on a standard Three-Tier Architecture:</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Source Layer: Raw input files — the main sales Excel file, Facebook Ads CSV, and weather CSV from Open-Meteo API.</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Processing &amp; Storage Layer: Python ETL pipeline, PostgreSQL 15 data warehouse running in a Docker container, organized in Star Schema design.</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Presentation Layer: Tableau Desktop connected directly to PostgreSQL via JDBC, displaying 5 interactive dashboards.</w:t>
      </w:r>
    </w:p>
    <w:p>
      <w:pPr>
        <w:pStyle w:val="Heading2"/>
        <w:spacing w:after="120" w:before="280"/>
      </w:pPr>
      <w:r>
        <w:rPr>
          <w:rFonts w:ascii="Times New Roman" w:cs="Times New Roman" w:eastAsia="Times New Roman" w:hAnsi="Times New Roman"/>
          <w:b/>
          <w:bCs/>
          <w:color w:val="000000"/>
          <w:sz w:val="28"/>
          <w:szCs w:val="28"/>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00"/>
        <w:gridCol w:w="3260"/>
      </w:tblGrid>
      <w:tr>
        <w:trPr>
          <w:tblHeader/>
        </w:trP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Component</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Technology</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Version</w:t>
            </w:r>
          </w:p>
        </w:tc>
        <w:tc>
          <w:tcPr>
            <w:tcW w:type="dxa" w:w="32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Role</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Database</w:t>
            </w:r>
          </w:p>
        </w:tc>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PostgreSQL</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15</w:t>
            </w:r>
          </w:p>
        </w:tc>
        <w:tc>
          <w:tcPr>
            <w:tcW w:type="dxa" w:w="32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Data Warehouse</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Containerization</w:t>
            </w:r>
          </w:p>
        </w:tc>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Docker / Docker Compose</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Latest</w:t>
            </w:r>
          </w:p>
        </w:tc>
        <w:tc>
          <w:tcPr>
            <w:tcW w:type="dxa" w:w="32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Isolated environment</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ETL Engine</w:t>
            </w:r>
          </w:p>
        </w:tc>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Python + pandas + psycopg2</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3.10 / 2.x</w:t>
            </w:r>
          </w:p>
        </w:tc>
        <w:tc>
          <w:tcPr>
            <w:tcW w:type="dxa" w:w="32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Extract, transform, load</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Pipeline UI</w:t>
            </w:r>
          </w:p>
        </w:tc>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Streamlit</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Latest</w:t>
            </w:r>
          </w:p>
        </w:tc>
        <w:tc>
          <w:tcPr>
            <w:tcW w:type="dxa" w:w="32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Upload → validate → trigger ETL</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Visualization</w:t>
            </w:r>
          </w:p>
        </w:tc>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Tableau Desktop</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2024</w:t>
            </w:r>
          </w:p>
        </w:tc>
        <w:tc>
          <w:tcPr>
            <w:tcW w:type="dxa" w:w="32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Interactive dashboards</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Main Data Source</w:t>
            </w:r>
          </w:p>
        </w:tc>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Microsoft Excel (.xlsx)</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w:t>
            </w:r>
          </w:p>
        </w:tc>
        <w:tc>
          <w:tcPr>
            <w:tcW w:type="dxa" w:w="32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Raw sales data</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Ad Data Source</w:t>
            </w:r>
          </w:p>
        </w:tc>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CSV (Facebook Ads)</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w:t>
            </w:r>
          </w:p>
        </w:tc>
        <w:tc>
          <w:tcPr>
            <w:tcW w:type="dxa" w:w="32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Campaign spend by day</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Weather Source</w:t>
            </w:r>
          </w:p>
        </w:tc>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CSV (Open-Meteo API)</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w:t>
            </w:r>
          </w:p>
        </w:tc>
        <w:tc>
          <w:tcPr>
            <w:tcW w:type="dxa" w:w="32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Temperature, rainfall by region</w:t>
            </w:r>
          </w:p>
        </w:tc>
      </w:tr>
    </w:tbl>
    <w:p>
      <w:pPr>
        <w:pStyle w:val="Heading2"/>
        <w:spacing w:after="120" w:before="280"/>
      </w:pPr>
      <w:r>
        <w:rPr>
          <w:rFonts w:ascii="Times New Roman" w:cs="Times New Roman" w:eastAsia="Times New Roman" w:hAnsi="Times New Roman"/>
          <w:b/>
          <w:bCs/>
          <w:color w:val="000000"/>
          <w:sz w:val="28"/>
          <w:szCs w:val="28"/>
        </w:rPr>
        <w:t xml:space="preserve">2.3 Docker and Database Configuration</w:t>
      </w:r>
    </w:p>
    <w:p>
      <w:pPr>
        <w:spacing w:after="80" w:before="60" w:line="300"/>
      </w:pPr>
      <w:r>
        <w:rPr>
          <w:rFonts w:ascii="Times New Roman" w:cs="Times New Roman" w:eastAsia="Times New Roman" w:hAnsi="Times New Roman"/>
          <w:color w:val="000000"/>
          <w:sz w:val="24"/>
          <w:szCs w:val="24"/>
        </w:rPr>
        <w:t xml:space="preserve">PostgreSQL 15 runs in Docker with the following configuration:</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Port mapping: 5434 (host) → 5432 (container), avoiding conflicts with any locally installed PostgreSQL</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Database: bi_db | Schema staging: raw landing zone | Schema dw: production data warehouse</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Credentials: bi_user / bi_pass (development environment)</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Configuration files: docker-compose.yml + .env (environment variables)</w:t>
      </w:r>
    </w:p>
    <w:p>
      <w:pPr>
        <w:pStyle w:val="Heading2"/>
        <w:spacing w:after="120" w:before="280"/>
      </w:pPr>
      <w:r>
        <w:rPr>
          <w:rFonts w:ascii="Times New Roman" w:cs="Times New Roman" w:eastAsia="Times New Roman" w:hAnsi="Times New Roman"/>
          <w:b/>
          <w:bCs/>
          <w:color w:val="000000"/>
          <w:sz w:val="28"/>
          <w:szCs w:val="28"/>
        </w:rPr>
        <w:t xml:space="preserve">2.4 Data Warehouse Design — Star Schema</w:t>
      </w:r>
    </w:p>
    <w:p>
      <w:pPr>
        <w:spacing w:after="80" w:before="60" w:line="300"/>
      </w:pPr>
      <w:r>
        <w:rPr>
          <w:rFonts w:ascii="Times New Roman" w:cs="Times New Roman" w:eastAsia="Times New Roman" w:hAnsi="Times New Roman"/>
          <w:color w:val="000000"/>
          <w:sz w:val="24"/>
          <w:szCs w:val="24"/>
        </w:rPr>
        <w:t xml:space="preserve">The warehouse follows a fact constellation (galaxy schema) with one central fact table and 11 surrounding dimension tables. Three fact tables share conformed dimensions, enabling cross-source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3560"/>
      </w:tblGrid>
      <w:tr>
        <w:trPr>
          <w:tblHeader/>
        </w:trP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Table</w:t>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Type</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Rows</w:t>
            </w:r>
          </w:p>
        </w:tc>
        <w:tc>
          <w:tcPr>
            <w:tcW w:type="dxa" w:w="3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Description</w:t>
            </w:r>
          </w:p>
        </w:tc>
      </w:tr>
      <w:tr>
        <w:tc>
          <w:tcPr>
            <w:tcW w:type="dxa" w:w="2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fact_marketing_sales</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Fact</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14,981</w:t>
            </w:r>
          </w:p>
        </w:tc>
        <w:tc>
          <w:tcPr>
            <w:tcW w:type="dxa" w:w="35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Main fact: revenue, cost, profit, funnel metrics</w:t>
            </w:r>
          </w:p>
        </w:tc>
      </w:tr>
      <w:tr>
        <w:tc>
          <w:tcPr>
            <w:tcW w:type="dxa" w:w="2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fact_ad_spend</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Fact</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~2,300</w:t>
            </w:r>
          </w:p>
        </w:tc>
        <w:tc>
          <w:tcPr>
            <w:tcW w:type="dxa" w:w="35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Facebook Ads spend by date × campaign</w:t>
            </w:r>
          </w:p>
        </w:tc>
      </w:tr>
      <w:tr>
        <w:tc>
          <w:tcPr>
            <w:tcW w:type="dxa" w:w="2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fact_weather_daily</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Fact</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5,478</w:t>
            </w:r>
          </w:p>
        </w:tc>
        <w:tc>
          <w:tcPr>
            <w:tcW w:type="dxa" w:w="35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Daily weather by region (2021–2025)</w:t>
            </w:r>
          </w:p>
        </w:tc>
      </w:tr>
      <w:tr>
        <w:tc>
          <w:tcPr>
            <w:tcW w:type="dxa" w:w="2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dim_date</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Dimension</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1,826</w:t>
            </w:r>
          </w:p>
        </w:tc>
        <w:tc>
          <w:tcPr>
            <w:tcW w:type="dxa" w:w="35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Full calendar: year, quarter, month, week</w:t>
            </w:r>
          </w:p>
        </w:tc>
      </w:tr>
      <w:tr>
        <w:tc>
          <w:tcPr>
            <w:tcW w:type="dxa" w:w="2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dim_product</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Dimension</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40</w:t>
            </w:r>
          </w:p>
        </w:tc>
        <w:tc>
          <w:tcPr>
            <w:tcW w:type="dxa" w:w="35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Products with category mapping</w:t>
            </w:r>
          </w:p>
        </w:tc>
      </w:tr>
      <w:tr>
        <w:tc>
          <w:tcPr>
            <w:tcW w:type="dxa" w:w="2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dim_branch</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Dimension</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9</w:t>
            </w:r>
          </w:p>
        </w:tc>
        <w:tc>
          <w:tcPr>
            <w:tcW w:type="dxa" w:w="35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Branches with region FK</w:t>
            </w:r>
          </w:p>
        </w:tc>
      </w:tr>
      <w:tr>
        <w:tc>
          <w:tcPr>
            <w:tcW w:type="dxa" w:w="2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dim_region</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Dimension</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w:t>
            </w:r>
          </w:p>
        </w:tc>
        <w:tc>
          <w:tcPr>
            <w:tcW w:type="dxa" w:w="35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North / Central / South</w:t>
            </w:r>
          </w:p>
        </w:tc>
      </w:tr>
      <w:tr>
        <w:tc>
          <w:tcPr>
            <w:tcW w:type="dxa" w:w="2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dim_channel</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Dimension</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6</w:t>
            </w:r>
          </w:p>
        </w:tc>
        <w:tc>
          <w:tcPr>
            <w:tcW w:type="dxa" w:w="35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Sales channels</w:t>
            </w:r>
          </w:p>
        </w:tc>
      </w:tr>
      <w:tr>
        <w:tc>
          <w:tcPr>
            <w:tcW w:type="dxa" w:w="2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dim_customer_segment</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Dimension</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w:t>
            </w:r>
          </w:p>
        </w:tc>
        <w:tc>
          <w:tcPr>
            <w:tcW w:type="dxa" w:w="35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Customer segments</w:t>
            </w:r>
          </w:p>
        </w:tc>
      </w:tr>
      <w:tr>
        <w:tc>
          <w:tcPr>
            <w:tcW w:type="dxa" w:w="2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dim_campaign</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Dimension</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9</w:t>
            </w:r>
          </w:p>
        </w:tc>
        <w:tc>
          <w:tcPr>
            <w:tcW w:type="dxa" w:w="35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Marketing campaigns</w:t>
            </w:r>
          </w:p>
        </w:tc>
      </w:tr>
      <w:tr>
        <w:tc>
          <w:tcPr>
            <w:tcW w:type="dxa" w:w="2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dim_department</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Dimension</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6</w:t>
            </w:r>
          </w:p>
        </w:tc>
        <w:tc>
          <w:tcPr>
            <w:tcW w:type="dxa" w:w="35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Business departments</w:t>
            </w:r>
          </w:p>
        </w:tc>
      </w:tr>
      <w:tr>
        <w:tc>
          <w:tcPr>
            <w:tcW w:type="dxa" w:w="2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dim_stage</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Dimension</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5</w:t>
            </w:r>
          </w:p>
        </w:tc>
        <w:tc>
          <w:tcPr>
            <w:tcW w:type="dxa" w:w="35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Conversion funnel stages</w:t>
            </w:r>
          </w:p>
        </w:tc>
      </w:tr>
      <w:tr>
        <w:tc>
          <w:tcPr>
            <w:tcW w:type="dxa" w:w="2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dim_machine</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Dimension</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w:t>
            </w:r>
          </w:p>
        </w:tc>
        <w:tc>
          <w:tcPr>
            <w:tcW w:type="dxa" w:w="35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Production machines</w:t>
            </w:r>
          </w:p>
        </w:tc>
      </w:tr>
      <w:tr>
        <w:tc>
          <w:tcPr>
            <w:tcW w:type="dxa" w:w="2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dim_information</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Dimension</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w:t>
            </w:r>
          </w:p>
        </w:tc>
        <w:tc>
          <w:tcPr>
            <w:tcW w:type="dxa" w:w="35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Customer inquiry types</w:t>
            </w:r>
          </w:p>
        </w:tc>
      </w:tr>
    </w:tbl>
    <w:p>
      <w:pPr>
        <w:spacing w:after="0" w:before="80"/>
      </w:pPr>
    </w:p>
    <w:p>
      <w:pPr>
        <w:spacing w:after="80" w:before="60" w:line="300"/>
      </w:pPr>
      <w:r>
        <w:rPr>
          <w:rFonts w:ascii="Times New Roman" w:cs="Times New Roman" w:eastAsia="Times New Roman" w:hAnsi="Times New Roman"/>
          <w:color w:val="000000"/>
          <w:sz w:val="24"/>
          <w:szCs w:val="24"/>
        </w:rPr>
        <w:t xml:space="preserve">A pre-built view dw.v_sales_weather joins fact_marketing_sales with dim_branch (region), dim_product (category), and fact_weather_daily — serving as the primary Tableau data source for weather-correlation analysis.</w:t>
      </w:r>
    </w:p>
    <w:p>
      <w:r>
        <w:br w:type="page"/>
      </w:r>
    </w:p>
    <w:p>
      <w:pPr>
        <w:pStyle w:val="Heading1"/>
        <w:spacing w:after="160" w:before="400"/>
      </w:pPr>
      <w:r>
        <w:rPr>
          <w:rFonts w:ascii="Times New Roman" w:cs="Times New Roman" w:eastAsia="Times New Roman" w:hAnsi="Times New Roman"/>
          <w:b/>
          <w:bCs/>
          <w:color w:val="000000"/>
          <w:sz w:val="32"/>
          <w:szCs w:val="32"/>
        </w:rPr>
        <w:t xml:space="preserve">CHAPTER 3: DATASET DESCRIPTION</w:t>
      </w:r>
    </w:p>
    <w:p>
      <w:pPr>
        <w:pStyle w:val="Heading2"/>
        <w:spacing w:after="120" w:before="280"/>
      </w:pPr>
      <w:r>
        <w:rPr>
          <w:rFonts w:ascii="Times New Roman" w:cs="Times New Roman" w:eastAsia="Times New Roman" w:hAnsi="Times New Roman"/>
          <w:b/>
          <w:bCs/>
          <w:color w:val="000000"/>
          <w:sz w:val="28"/>
          <w:szCs w:val="28"/>
        </w:rPr>
        <w:t xml:space="preserve">3.1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Metric</w:t>
            </w:r>
          </w:p>
        </w:tc>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Value</w:t>
            </w:r>
          </w:p>
        </w:tc>
      </w:tr>
      <w:tr>
        <w:tc>
          <w:tcPr>
            <w:tcW w:type="dxa" w:w="4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Total orders</w:t>
            </w:r>
          </w:p>
        </w:tc>
        <w:tc>
          <w:tcPr>
            <w:tcW w:type="dxa" w:w="4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14,981</w:t>
            </w:r>
          </w:p>
        </w:tc>
      </w:tr>
      <w:tr>
        <w:tc>
          <w:tcPr>
            <w:tcW w:type="dxa" w:w="4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Products</w:t>
            </w:r>
          </w:p>
        </w:tc>
        <w:tc>
          <w:tcPr>
            <w:tcW w:type="dxa" w:w="4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40</w:t>
            </w:r>
          </w:p>
        </w:tc>
      </w:tr>
      <w:tr>
        <w:tc>
          <w:tcPr>
            <w:tcW w:type="dxa" w:w="4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Categories</w:t>
            </w:r>
          </w:p>
        </w:tc>
        <w:tc>
          <w:tcPr>
            <w:tcW w:type="dxa" w:w="4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7</w:t>
            </w:r>
          </w:p>
        </w:tc>
      </w:tr>
      <w:tr>
        <w:tc>
          <w:tcPr>
            <w:tcW w:type="dxa" w:w="4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Branches</w:t>
            </w:r>
          </w:p>
        </w:tc>
        <w:tc>
          <w:tcPr>
            <w:tcW w:type="dxa" w:w="4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9 (3 regions: North, Central, South)</w:t>
            </w:r>
          </w:p>
        </w:tc>
      </w:tr>
      <w:tr>
        <w:tc>
          <w:tcPr>
            <w:tcW w:type="dxa" w:w="4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Sales channels</w:t>
            </w:r>
          </w:p>
        </w:tc>
        <w:tc>
          <w:tcPr>
            <w:tcW w:type="dxa" w:w="4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6</w:t>
            </w:r>
          </w:p>
        </w:tc>
      </w:tr>
      <w:tr>
        <w:tc>
          <w:tcPr>
            <w:tcW w:type="dxa" w:w="4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Time period</w:t>
            </w:r>
          </w:p>
        </w:tc>
        <w:tc>
          <w:tcPr>
            <w:tcW w:type="dxa" w:w="4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2021–2025 (5 years)</w:t>
            </w:r>
          </w:p>
        </w:tc>
      </w:tr>
      <w:tr>
        <w:tc>
          <w:tcPr>
            <w:tcW w:type="dxa" w:w="4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Total revenue</w:t>
            </w:r>
          </w:p>
        </w:tc>
        <w:tc>
          <w:tcPr>
            <w:tcW w:type="dxa" w:w="4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99.1 B VND (×1,000)</w:t>
            </w:r>
          </w:p>
        </w:tc>
      </w:tr>
      <w:tr>
        <w:tc>
          <w:tcPr>
            <w:tcW w:type="dxa" w:w="4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Total profit</w:t>
            </w:r>
          </w:p>
        </w:tc>
        <w:tc>
          <w:tcPr>
            <w:tcW w:type="dxa" w:w="4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22.9 B VND</w:t>
            </w:r>
          </w:p>
        </w:tc>
      </w:tr>
      <w:tr>
        <w:tc>
          <w:tcPr>
            <w:tcW w:type="dxa" w:w="4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Avg profit margin</w:t>
            </w:r>
          </w:p>
        </w:tc>
        <w:tc>
          <w:tcPr>
            <w:tcW w:type="dxa" w:w="4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23.8%</w:t>
            </w:r>
          </w:p>
        </w:tc>
      </w:tr>
      <w:tr>
        <w:tc>
          <w:tcPr>
            <w:tcW w:type="dxa" w:w="4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Number of columns</w:t>
            </w:r>
          </w:p>
        </w:tc>
        <w:tc>
          <w:tcPr>
            <w:tcW w:type="dxa" w:w="4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37 fields</w:t>
            </w:r>
          </w:p>
        </w:tc>
      </w:tr>
      <w:tr>
        <w:tc>
          <w:tcPr>
            <w:tcW w:type="dxa" w:w="4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Supplementary source 1</w:t>
            </w:r>
          </w:p>
        </w:tc>
        <w:tc>
          <w:tcPr>
            <w:tcW w:type="dxa" w:w="4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Facebook Ads: 2,300 records, 9 campaigns</w:t>
            </w:r>
          </w:p>
        </w:tc>
      </w:tr>
      <w:tr>
        <w:tc>
          <w:tcPr>
            <w:tcW w:type="dxa" w:w="4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Supplementary source 2</w:t>
            </w:r>
          </w:p>
        </w:tc>
        <w:tc>
          <w:tcPr>
            <w:tcW w:type="dxa" w:w="4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Weather: 5,478 records, 3 regions × 5 years</w:t>
            </w:r>
          </w:p>
        </w:tc>
      </w:tr>
    </w:tbl>
    <w:p>
      <w:pPr>
        <w:pStyle w:val="Heading2"/>
        <w:spacing w:after="120" w:before="280"/>
      </w:pPr>
      <w:r>
        <w:rPr>
          <w:rFonts w:ascii="Times New Roman" w:cs="Times New Roman" w:eastAsia="Times New Roman" w:hAnsi="Times New Roman"/>
          <w:b/>
          <w:bCs/>
          <w:color w:val="000000"/>
          <w:sz w:val="28"/>
          <w:szCs w:val="28"/>
        </w:rPr>
        <w:t xml:space="preserve">3.2 Product Catalog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600"/>
        <w:gridCol w:w="1960"/>
      </w:tblGrid>
      <w:tr>
        <w:trPr>
          <w:tblHeader/>
        </w:trP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Category</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Products</w:t>
            </w:r>
          </w:p>
        </w:tc>
        <w:tc>
          <w:tcPr>
            <w:tcW w:type="dxa" w:w="3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Representative Products</w:t>
            </w:r>
          </w:p>
        </w:tc>
        <w:tc>
          <w:tcPr>
            <w:tcW w:type="dxa" w:w="1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Avg Margin</w:t>
            </w:r>
          </w:p>
        </w:tc>
      </w:tr>
      <w:tr>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Mi an lien (Instant Noodles)</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8</w:t>
            </w:r>
          </w:p>
        </w:tc>
        <w:tc>
          <w:tcPr>
            <w:tcW w:type="dxa" w:w="3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Mi Kokomi, Mi Omachi, Mi Tien Vua, Mi Kokomi lau thai</w:t>
            </w:r>
          </w:p>
        </w:tc>
        <w:tc>
          <w:tcPr>
            <w:tcW w:type="dxa" w:w="19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14.4%</w:t>
            </w:r>
          </w:p>
        </w:tc>
      </w:tr>
      <w:tr>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Bia (Beer)</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5</w:t>
            </w:r>
          </w:p>
        </w:tc>
        <w:tc>
          <w:tcPr>
            <w:tcW w:type="dxa" w:w="3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Bia Su Tu Trang lon, Bia Lion Gold, Bia Su Tu Vang chai</w:t>
            </w:r>
          </w:p>
        </w:tc>
        <w:tc>
          <w:tcPr>
            <w:tcW w:type="dxa" w:w="19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30.5%</w:t>
            </w:r>
          </w:p>
        </w:tc>
      </w:tr>
      <w:tr>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Gia vi (Seasoning)</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8</w:t>
            </w:r>
          </w:p>
        </w:tc>
        <w:tc>
          <w:tcPr>
            <w:tcW w:type="dxa" w:w="3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Nuoc mam Chin-Su, Nuoc mam Nam Ngu, Tuong ot Chin-Su</w:t>
            </w:r>
          </w:p>
        </w:tc>
        <w:tc>
          <w:tcPr>
            <w:tcW w:type="dxa" w:w="19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18.1%</w:t>
            </w:r>
          </w:p>
        </w:tc>
      </w:tr>
      <w:tr>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Thuc pham (Food)</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5</w:t>
            </w:r>
          </w:p>
        </w:tc>
        <w:tc>
          <w:tcPr>
            <w:tcW w:type="dxa" w:w="3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Pho mai Con Bo Cuoi, Thit hop Ponnie, Dau an Nakydaco</w:t>
            </w:r>
          </w:p>
        </w:tc>
        <w:tc>
          <w:tcPr>
            <w:tcW w:type="dxa" w:w="19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19.6%</w:t>
            </w:r>
          </w:p>
        </w:tc>
      </w:tr>
      <w:tr>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Nuoc giai khat (Soft Drinks)</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7</w:t>
            </w:r>
          </w:p>
        </w:tc>
        <w:tc>
          <w:tcPr>
            <w:tcW w:type="dxa" w:w="3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Nuoc khoang Vinh Hao, Nuoc tang luc Wake-up 247, Compact</w:t>
            </w:r>
          </w:p>
        </w:tc>
        <w:tc>
          <w:tcPr>
            <w:tcW w:type="dxa" w:w="19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37.1%</w:t>
            </w:r>
          </w:p>
        </w:tc>
      </w:tr>
      <w:tr>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Do uong (Beverages)</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w:t>
            </w:r>
          </w:p>
        </w:tc>
        <w:tc>
          <w:tcPr>
            <w:tcW w:type="dxa" w:w="3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Ca phe Vinacafe 3in1, Ca phe Wake-up Saigon</w:t>
            </w:r>
          </w:p>
        </w:tc>
        <w:tc>
          <w:tcPr>
            <w:tcW w:type="dxa" w:w="19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23.6%</w:t>
            </w:r>
          </w:p>
        </w:tc>
      </w:tr>
      <w:tr>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Snack</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w:t>
            </w:r>
          </w:p>
        </w:tc>
        <w:tc>
          <w:tcPr>
            <w:tcW w:type="dxa" w:w="3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Banh gao Kokomi, Snack Omachi</w:t>
            </w:r>
          </w:p>
        </w:tc>
        <w:tc>
          <w:tcPr>
            <w:tcW w:type="dxa" w:w="19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26.9%</w:t>
            </w:r>
          </w:p>
        </w:tc>
      </w:tr>
    </w:tbl>
    <w:p>
      <w:pPr>
        <w:pStyle w:val="Heading2"/>
        <w:spacing w:after="120" w:before="280"/>
      </w:pPr>
      <w:r>
        <w:rPr>
          <w:rFonts w:ascii="Times New Roman" w:cs="Times New Roman" w:eastAsia="Times New Roman" w:hAnsi="Times New Roman"/>
          <w:b/>
          <w:bCs/>
          <w:color w:val="000000"/>
          <w:sz w:val="28"/>
          <w:szCs w:val="28"/>
        </w:rPr>
        <w:t xml:space="preserve">3.3 Geographic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800"/>
        <w:gridCol w:w="2360"/>
      </w:tblGrid>
      <w:tr>
        <w:trPr>
          <w:tblHeader/>
        </w:trP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Region</w:t>
            </w:r>
          </w:p>
        </w:tc>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Branches</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Revenue Share</w:t>
            </w:r>
          </w:p>
        </w:tc>
        <w:tc>
          <w:tcPr>
            <w:tcW w:type="dxa" w:w="2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Key Market</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Mien Bac (North)</w:t>
            </w:r>
          </w:p>
        </w:tc>
        <w:tc>
          <w:tcPr>
            <w:tcW w:type="dxa" w:w="3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Ha Noi, Hai Phong, Quang Ninh</w:t>
            </w:r>
          </w:p>
        </w:tc>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40.0%</w:t>
            </w:r>
          </w:p>
        </w:tc>
        <w:tc>
          <w:tcPr>
            <w:tcW w:type="dxa" w:w="23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Largest consumer base, Mi an lien dominant</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Mien Nam (South)</w:t>
            </w:r>
          </w:p>
        </w:tc>
        <w:tc>
          <w:tcPr>
            <w:tcW w:type="dxa" w:w="3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TP.HCM, Binh Duong, Can Tho</w:t>
            </w:r>
          </w:p>
        </w:tc>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38.3%</w:t>
            </w:r>
          </w:p>
        </w:tc>
        <w:tc>
          <w:tcPr>
            <w:tcW w:type="dxa" w:w="23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Beer and modern trade concentration</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Mien Trung (Central)</w:t>
            </w:r>
          </w:p>
        </w:tc>
        <w:tc>
          <w:tcPr>
            <w:tcW w:type="dxa" w:w="3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Da Nang, Hue, Nha Trang</w:t>
            </w:r>
          </w:p>
        </w:tc>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21.7%</w:t>
            </w:r>
          </w:p>
        </w:tc>
        <w:tc>
          <w:tcPr>
            <w:tcW w:type="dxa" w:w="23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Highest margins, smaller volume</w:t>
            </w:r>
          </w:p>
        </w:tc>
      </w:tr>
    </w:tbl>
    <w:p>
      <w:pPr>
        <w:pStyle w:val="Heading2"/>
        <w:spacing w:after="120" w:before="280"/>
      </w:pPr>
      <w:r>
        <w:rPr>
          <w:rFonts w:ascii="Times New Roman" w:cs="Times New Roman" w:eastAsia="Times New Roman" w:hAnsi="Times New Roman"/>
          <w:b/>
          <w:bCs/>
          <w:color w:val="000000"/>
          <w:sz w:val="28"/>
          <w:szCs w:val="28"/>
        </w:rPr>
        <w:t xml:space="preserve">3.4 Customer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Segment</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Revenue Share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Margin</w:t>
            </w:r>
          </w:p>
        </w:tc>
        <w:tc>
          <w:tcPr>
            <w:tcW w:type="dxa" w:w="2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Orders</w:t>
            </w:r>
          </w:p>
        </w:tc>
      </w:tr>
      <w:tr>
        <w:tc>
          <w:tcPr>
            <w:tcW w:type="dxa" w:w="3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Kenh hien dai (Modern Trade)</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26.8%</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24.5%</w:t>
            </w:r>
          </w:p>
        </w:tc>
        <w:tc>
          <w:tcPr>
            <w:tcW w:type="dxa" w:w="23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3,782</w:t>
            </w:r>
          </w:p>
        </w:tc>
      </w:tr>
      <w:tr>
        <w:tc>
          <w:tcPr>
            <w:tcW w:type="dxa" w:w="3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Nha phan phoi (Distributor)</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26.6%</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22.7%</w:t>
            </w:r>
          </w:p>
        </w:tc>
        <w:tc>
          <w:tcPr>
            <w:tcW w:type="dxa" w:w="23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3,771</w:t>
            </w:r>
          </w:p>
        </w:tc>
      </w:tr>
      <w:tr>
        <w:tc>
          <w:tcPr>
            <w:tcW w:type="dxa" w:w="3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Ban le (Retail)</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24.2%</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24.1%</w:t>
            </w:r>
          </w:p>
        </w:tc>
        <w:tc>
          <w:tcPr>
            <w:tcW w:type="dxa" w:w="23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3,727</w:t>
            </w:r>
          </w:p>
        </w:tc>
      </w:tr>
      <w:tr>
        <w:tc>
          <w:tcPr>
            <w:tcW w:type="dxa" w:w="3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Thuong mai dien tu (E-commerce)</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22.4%</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23.7%</w:t>
            </w:r>
          </w:p>
        </w:tc>
        <w:tc>
          <w:tcPr>
            <w:tcW w:type="dxa" w:w="23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3,701</w:t>
            </w:r>
          </w:p>
        </w:tc>
      </w:tr>
    </w:tbl>
    <w:p>
      <w:r>
        <w:br w:type="page"/>
      </w:r>
    </w:p>
    <w:p>
      <w:pPr>
        <w:pStyle w:val="Heading1"/>
        <w:spacing w:after="160" w:before="400"/>
      </w:pPr>
      <w:r>
        <w:rPr>
          <w:rFonts w:ascii="Times New Roman" w:cs="Times New Roman" w:eastAsia="Times New Roman" w:hAnsi="Times New Roman"/>
          <w:b/>
          <w:bCs/>
          <w:color w:val="000000"/>
          <w:sz w:val="32"/>
          <w:szCs w:val="32"/>
        </w:rPr>
        <w:t xml:space="preserve">CHAPTER 4: DATA PIPELINE &amp; QUALITY MANAGEMENT</w:t>
      </w:r>
    </w:p>
    <w:p>
      <w:pPr>
        <w:pStyle w:val="Heading2"/>
        <w:spacing w:after="120" w:before="280"/>
      </w:pPr>
      <w:r>
        <w:rPr>
          <w:rFonts w:ascii="Times New Roman" w:cs="Times New Roman" w:eastAsia="Times New Roman" w:hAnsi="Times New Roman"/>
          <w:b/>
          <w:bCs/>
          <w:color w:val="000000"/>
          <w:sz w:val="28"/>
          <w:szCs w:val="28"/>
        </w:rPr>
        <w:t xml:space="preserve">4.1 ETL Flow</w:t>
      </w:r>
    </w:p>
    <w:p>
      <w:pPr>
        <w:spacing w:after="80" w:before="60" w:line="300"/>
      </w:pPr>
      <w:r>
        <w:rPr>
          <w:rFonts w:ascii="Times New Roman" w:cs="Times New Roman" w:eastAsia="Times New Roman" w:hAnsi="Times New Roman"/>
          <w:color w:val="000000"/>
          <w:sz w:val="24"/>
          <w:szCs w:val="24"/>
        </w:rPr>
        <w:t xml:space="preserve">The pipeline executes four sequential stages triggered from the Streamlit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Stage</w:t>
            </w:r>
          </w:p>
        </w:tc>
        <w:tc>
          <w:tcPr>
            <w:tcW w:type="dxa" w:w="3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Component</w:t>
            </w:r>
          </w:p>
        </w:tc>
        <w:tc>
          <w:tcPr>
            <w:tcW w:type="dxa" w:w="4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Output</w:t>
            </w:r>
          </w:p>
        </w:tc>
      </w:tr>
      <w:tr>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1. Upload</w:t>
            </w:r>
          </w:p>
        </w:tc>
        <w:tc>
          <w:tcPr>
            <w:tcW w:type="dxa" w:w="3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Streamlit file uploader (.xlsx)</w:t>
            </w:r>
          </w:p>
        </w:tc>
        <w:tc>
          <w:tcPr>
            <w:tcW w:type="dxa" w:w="43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DataFrame in memory</w:t>
            </w:r>
          </w:p>
        </w:tc>
      </w:tr>
      <w:tr>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2. Validate</w:t>
            </w:r>
          </w:p>
        </w:tc>
        <w:tc>
          <w:tcPr>
            <w:tcW w:type="dxa" w:w="3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validate() function in app.py</w:t>
            </w:r>
          </w:p>
        </w:tc>
        <w:tc>
          <w:tcPr>
            <w:tcW w:type="dxa" w:w="43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hard_errors, row_errors, warnings</w:t>
            </w:r>
          </w:p>
        </w:tc>
      </w:tr>
      <w:tr>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3. Schema Init</w:t>
            </w:r>
          </w:p>
        </w:tc>
        <w:tc>
          <w:tcPr>
            <w:tcW w:type="dxa" w:w="3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sql-marketing.sql (idempotent DDL)</w:t>
            </w:r>
          </w:p>
        </w:tc>
        <w:tc>
          <w:tcPr>
            <w:tcW w:type="dxa" w:w="43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PostgreSQL schemas, tables, views, indexes</w:t>
            </w:r>
          </w:p>
        </w:tc>
      </w:tr>
      <w:tr>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4. Load</w:t>
            </w:r>
          </w:p>
        </w:tc>
        <w:tc>
          <w:tcPr>
            <w:tcW w:type="dxa" w:w="3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py-marketing.py (Python ETL)</w:t>
            </w:r>
          </w:p>
        </w:tc>
        <w:tc>
          <w:tcPr>
            <w:tcW w:type="dxa" w:w="43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Incremental upsert to dw.* tables</w:t>
            </w:r>
          </w:p>
        </w:tc>
      </w:tr>
    </w:tbl>
    <w:p>
      <w:pPr>
        <w:pStyle w:val="Heading2"/>
        <w:spacing w:after="120" w:before="280"/>
      </w:pPr>
      <w:r>
        <w:rPr>
          <w:rFonts w:ascii="Times New Roman" w:cs="Times New Roman" w:eastAsia="Times New Roman" w:hAnsi="Times New Roman"/>
          <w:b/>
          <w:bCs/>
          <w:color w:val="000000"/>
          <w:sz w:val="28"/>
          <w:szCs w:val="28"/>
        </w:rPr>
        <w:t xml:space="preserve">4.2 Schema Initialization (sql-marketing.sql)</w:t>
      </w:r>
    </w:p>
    <w:p>
      <w:pPr>
        <w:spacing w:after="80" w:before="60" w:line="300"/>
      </w:pPr>
      <w:r>
        <w:rPr>
          <w:rFonts w:ascii="Times New Roman" w:cs="Times New Roman" w:eastAsia="Times New Roman" w:hAnsi="Times New Roman"/>
          <w:color w:val="000000"/>
          <w:sz w:val="24"/>
          <w:szCs w:val="24"/>
        </w:rPr>
        <w:t xml:space="preserve">The DDL script is fully idempotent and safe to re-run at any time without data loss. Key design principles:</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Staging tables: DROP TABLE IF EXISTS + CREATE TABLE (truncated each run; staging is a throwaway zone).</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All dw.* tables: CREATE TABLE IF NOT EXISTS — the warehouse is never dropped or truncated.</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Views: CREATE OR REPLACE VIEW; Indexes: CREATE INDEX IF NOT EXISTS.</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dim_stage is pre-seeded with 5 funnel stages using ON CONFLICT DO UPDATE.</w:t>
      </w:r>
    </w:p>
    <w:p>
      <w:pPr>
        <w:spacing w:after="0" w:before="80"/>
      </w:pPr>
    </w:p>
    <w:p>
      <w:pPr>
        <w:spacing w:after="100" w:before="100" w:line="300"/>
        <w:ind w:left="480"/>
      </w:pPr>
      <w:r>
        <w:rPr>
          <w:rFonts w:ascii="Times New Roman" w:cs="Times New Roman" w:eastAsia="Times New Roman" w:hAnsi="Times New Roman"/>
          <w:i/>
          <w:iCs/>
          <w:color w:val="000000"/>
          <w:sz w:val="24"/>
          <w:szCs w:val="24"/>
        </w:rPr>
        <w:t xml:space="preserve">Critical bug fixed: An earlier version of sql-marketing.sql used DROP TABLE IF EXISTS for all dw.* tables, wiping the entire warehouse on every ETL run. This was corrected by replacing all DROP+CREATE patterns with IF NOT EXISTS semantics for dw.* tables only.</w:t>
      </w:r>
    </w:p>
    <w:p>
      <w:pPr>
        <w:pStyle w:val="Heading2"/>
        <w:spacing w:after="120" w:before="280"/>
      </w:pPr>
      <w:r>
        <w:rPr>
          <w:rFonts w:ascii="Times New Roman" w:cs="Times New Roman" w:eastAsia="Times New Roman" w:hAnsi="Times New Roman"/>
          <w:b/>
          <w:bCs/>
          <w:color w:val="000000"/>
          <w:sz w:val="28"/>
          <w:szCs w:val="28"/>
        </w:rPr>
        <w:t xml:space="preserve">4.3 Incremental Loading (py-marketing.py)</w:t>
      </w:r>
    </w:p>
    <w:p>
      <w:pPr>
        <w:spacing w:after="80" w:before="60" w:line="300"/>
      </w:pPr>
      <w:r>
        <w:rPr>
          <w:rFonts w:ascii="Times New Roman" w:cs="Times New Roman" w:eastAsia="Times New Roman" w:hAnsi="Times New Roman"/>
          <w:color w:val="000000"/>
          <w:sz w:val="24"/>
          <w:szCs w:val="24"/>
        </w:rPr>
        <w:t xml:space="preserve">The Python ETL uses ON CONFLICT DO UPDATE (upsert) semantics throughout, enabling safe re-runs and incremental loading without duplicating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FFF" w:val="clear"/>
            <w:tcMar>
              <w:top w:type="dxa" w:w="120"/>
              <w:left w:type="dxa" w:w="200"/>
              <w:bottom w:type="dxa" w:w="120"/>
              <w:right w:type="dxa" w:w="200"/>
            </w:tcMar>
          </w:tcPr>
          <w:p>
            <w:pPr>
              <w:spacing w:after="0" w:before="0" w:line="240"/>
            </w:pPr>
            <w:r>
              <w:rPr>
                <w:rFonts w:ascii="Courier New" w:cs="Courier New" w:eastAsia="Courier New" w:hAnsi="Courier New"/>
                <w:color w:val="000000"/>
                <w:sz w:val="20"/>
                <w:szCs w:val="20"/>
              </w:rPr>
              <w:t xml:space="preserve">-- Upsert pattern for all three data sources</w:t>
            </w:r>
          </w:p>
          <w:p>
            <w:pPr>
              <w:spacing w:after="0" w:before="0" w:line="240"/>
            </w:pPr>
            <w:r>
              <w:rPr>
                <w:rFonts w:ascii="Courier New" w:cs="Courier New" w:eastAsia="Courier New" w:hAnsi="Courier New"/>
                <w:color w:val="000000"/>
                <w:sz w:val="20"/>
                <w:szCs w:val="20"/>
              </w:rPr>
              <w:t xml:space="preserve">INSERT INTO dw.fact_marketing_sales (order_id, full_date, revenue, ...)</w:t>
            </w:r>
          </w:p>
          <w:p>
            <w:pPr>
              <w:spacing w:after="0" w:before="0" w:line="240"/>
            </w:pPr>
            <w:r>
              <w:rPr>
                <w:rFonts w:ascii="Courier New" w:cs="Courier New" w:eastAsia="Courier New" w:hAnsi="Courier New"/>
                <w:color w:val="000000"/>
                <w:sz w:val="20"/>
                <w:szCs w:val="20"/>
              </w:rPr>
              <w:t xml:space="preserve">VALUES %s</w:t>
            </w:r>
          </w:p>
          <w:p>
            <w:pPr>
              <w:spacing w:after="0" w:before="0" w:line="240"/>
            </w:pPr>
            <w:r>
              <w:rPr>
                <w:rFonts w:ascii="Courier New" w:cs="Courier New" w:eastAsia="Courier New" w:hAnsi="Courier New"/>
                <w:color w:val="000000"/>
                <w:sz w:val="20"/>
                <w:szCs w:val="20"/>
              </w:rPr>
              <w:t xml:space="preserve">ON CONFLICT (order_id) DO UPDATE SET</w:t>
            </w:r>
          </w:p>
          <w:p>
            <w:pPr>
              <w:spacing w:after="0" w:before="0" w:line="240"/>
            </w:pPr>
            <w:r>
              <w:rPr>
                <w:rFonts w:ascii="Courier New" w:cs="Courier New" w:eastAsia="Courier New" w:hAnsi="Courier New"/>
                <w:color w:val="000000"/>
                <w:sz w:val="20"/>
                <w:szCs w:val="20"/>
              </w:rPr>
              <w:t xml:space="preserve">    revenue = EXCLUDED.revenue,</w:t>
            </w:r>
          </w:p>
          <w:p>
            <w:pPr>
              <w:spacing w:after="0" w:before="0" w:line="240"/>
            </w:pPr>
            <w:r>
              <w:rPr>
                <w:rFonts w:ascii="Courier New" w:cs="Courier New" w:eastAsia="Courier New" w:hAnsi="Courier New"/>
                <w:color w:val="000000"/>
                <w:sz w:val="20"/>
                <w:szCs w:val="20"/>
              </w:rPr>
              <w:t xml:space="preserve">    profit  = EXCLUDED.profit,</w:t>
            </w:r>
          </w:p>
          <w:p>
            <w:pPr>
              <w:spacing w:after="0" w:before="0" w:line="240"/>
            </w:pPr>
            <w:r>
              <w:rPr>
                <w:rFonts w:ascii="Courier New" w:cs="Courier New" w:eastAsia="Courier New" w:hAnsi="Courier New"/>
                <w:color w:val="000000"/>
                <w:sz w:val="20"/>
                <w:szCs w:val="20"/>
              </w:rPr>
              <w:t xml:space="preserve">    ...    = EXCLUDED....</w:t>
            </w:r>
          </w:p>
        </w:tc>
      </w:tr>
    </w:tbl>
    <w:p>
      <w:pPr>
        <w:pStyle w:val="Heading2"/>
        <w:spacing w:after="120" w:before="280"/>
      </w:pPr>
      <w:r>
        <w:rPr>
          <w:rFonts w:ascii="Times New Roman" w:cs="Times New Roman" w:eastAsia="Times New Roman" w:hAnsi="Times New Roman"/>
          <w:b/>
          <w:bCs/>
          <w:color w:val="000000"/>
          <w:sz w:val="28"/>
          <w:szCs w:val="28"/>
        </w:rPr>
        <w:t xml:space="preserve">4.4 Data Validation — Two-Tier System</w:t>
      </w:r>
    </w:p>
    <w:p>
      <w:pPr>
        <w:spacing w:after="80" w:before="60" w:line="300"/>
      </w:pPr>
      <w:r>
        <w:rPr>
          <w:rFonts w:ascii="Times New Roman" w:cs="Times New Roman" w:eastAsia="Times New Roman" w:hAnsi="Times New Roman"/>
          <w:color w:val="000000"/>
          <w:sz w:val="24"/>
          <w:szCs w:val="24"/>
        </w:rPr>
        <w:t xml:space="preserve">The Streamlit validate() function implements a two-tier quality gate before any data reaches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800"/>
        <w:gridCol w:w="4860"/>
      </w:tblGrid>
      <w:tr>
        <w:trPr>
          <w:tblHeader/>
        </w:trP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Tier</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Name</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Blocks ETL?</w:t>
            </w:r>
          </w:p>
        </w:tc>
        <w:tc>
          <w:tcPr>
            <w:tcW w:type="dxa" w:w="4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Checks Applied</w:t>
            </w:r>
          </w:p>
        </w:tc>
      </w:tr>
      <w:tr>
        <w:tc>
          <w:tcPr>
            <w:tcW w:type="dxa" w:w="9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Tier 1</w:t>
            </w:r>
          </w:p>
        </w:tc>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hard_errors</w:t>
            </w:r>
          </w:p>
        </w:tc>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YES — ETL disabled</w:t>
            </w:r>
          </w:p>
        </w:tc>
        <w:tc>
          <w:tcPr>
            <w:tcW w:type="dxa" w:w="48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Missing required columns, empty file, duplicate column names</w:t>
            </w:r>
          </w:p>
        </w:tc>
      </w:tr>
      <w:tr>
        <w:tc>
          <w:tcPr>
            <w:tcW w:type="dxa" w:w="9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Tier 2</w:t>
            </w:r>
          </w:p>
        </w:tc>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row_errors</w:t>
            </w:r>
          </w:p>
        </w:tc>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NO — user can filter</w:t>
            </w:r>
          </w:p>
        </w:tc>
        <w:tc>
          <w:tcPr>
            <w:tcW w:type="dxa" w:w="48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Null in required field, invalid category/region/segment, non-numeric Revenue, negative Revenue, unparseable Date</w:t>
            </w:r>
          </w:p>
        </w:tc>
      </w:tr>
      <w:tr>
        <w:tc>
          <w:tcPr>
            <w:tcW w:type="dxa" w:w="9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Tier 3</w:t>
            </w:r>
          </w:p>
        </w:tc>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warnings</w:t>
            </w:r>
          </w:p>
        </w:tc>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NO — advisory</w:t>
            </w:r>
          </w:p>
        </w:tc>
        <w:tc>
          <w:tcPr>
            <w:tcW w:type="dxa" w:w="48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Duplicate OrderIDs</w:t>
            </w:r>
          </w:p>
        </w:tc>
      </w:tr>
    </w:tbl>
    <w:p>
      <w:pPr>
        <w:spacing w:after="0" w:before="80"/>
      </w:pPr>
    </w:p>
    <w:p>
      <w:pPr>
        <w:spacing w:after="80" w:before="60" w:line="300"/>
      </w:pPr>
      <w:r>
        <w:rPr>
          <w:rFonts w:ascii="Times New Roman" w:cs="Times New Roman" w:eastAsia="Times New Roman" w:hAnsi="Times New Roman"/>
          <w:color w:val="000000"/>
          <w:sz w:val="24"/>
          <w:szCs w:val="24"/>
        </w:rPr>
        <w:t xml:space="preserve">When row_errors are detected, the UI offers an auto-filter option: bad rows are removed, the cleaned DataFrame is saved to disk as vnretail_data.xlsx, and the removed rows are available as a downloadable error report (.xlsx). The ETL then operates exclusively on the validated clean data.</w:t>
      </w:r>
    </w:p>
    <w:p>
      <w:r>
        <w:br w:type="page"/>
      </w:r>
    </w:p>
    <w:p>
      <w:pPr>
        <w:pStyle w:val="Heading1"/>
        <w:spacing w:after="160" w:before="400"/>
      </w:pPr>
      <w:r>
        <w:rPr>
          <w:rFonts w:ascii="Times New Roman" w:cs="Times New Roman" w:eastAsia="Times New Roman" w:hAnsi="Times New Roman"/>
          <w:b/>
          <w:bCs/>
          <w:color w:val="000000"/>
          <w:sz w:val="32"/>
          <w:szCs w:val="32"/>
        </w:rPr>
        <w:t xml:space="preserve">CHAPTER 5: BUSINESS ANALYTICS — DASHBOARD ANALYSIS</w:t>
      </w:r>
    </w:p>
    <w:p>
      <w:pPr>
        <w:spacing w:after="80" w:before="60" w:line="300"/>
      </w:pPr>
      <w:r>
        <w:rPr>
          <w:rFonts w:ascii="Times New Roman" w:cs="Times New Roman" w:eastAsia="Times New Roman" w:hAnsi="Times New Roman"/>
          <w:color w:val="000000"/>
          <w:sz w:val="24"/>
          <w:szCs w:val="24"/>
        </w:rPr>
        <w:t xml:space="preserve">This chapter presents detailed analysis of all 17 charts across 5 Tableau dashboards. Each chart is examined for its design, construction method, actual results, and business implications. All monetary values are expressed in VND × 1,000 (thousand VND); KPI figures display in billions (B) after dividing by 1,000,000.</w:t>
      </w:r>
    </w:p>
    <w:p>
      <w:pPr>
        <w:pStyle w:val="Heading2"/>
        <w:spacing w:after="120" w:before="280"/>
      </w:pPr>
      <w:r>
        <w:rPr>
          <w:rFonts w:ascii="Times New Roman" w:cs="Times New Roman" w:eastAsia="Times New Roman" w:hAnsi="Times New Roman"/>
          <w:b/>
          <w:bCs/>
          <w:color w:val="000000"/>
          <w:sz w:val="28"/>
          <w:szCs w:val="28"/>
        </w:rPr>
        <w:t xml:space="preserve">5.1 Dashboard 1 — Executive Overview</w:t>
      </w:r>
    </w:p>
    <w:p>
      <w:pPr>
        <w:spacing w:after="80" w:before="60" w:line="300"/>
      </w:pPr>
      <w:r>
        <w:rPr>
          <w:rFonts w:ascii="Times New Roman" w:cs="Times New Roman" w:eastAsia="Times New Roman" w:hAnsi="Times New Roman"/>
          <w:color w:val="000000"/>
          <w:sz w:val="24"/>
          <w:szCs w:val="24"/>
        </w:rPr>
        <w:t xml:space="preserve">Purpose: Provide C-suite and senior management with a single-page, high-level summary of 5-year business performance. Dashboard 1 contains 4 KPI cards + 3 analytical charts.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4"/>
              <w:left w:val="single" w:color="000000" w:sz="4"/>
              <w:bottom w:val="single" w:color="000000" w:sz="4"/>
              <w:right w:val="single" w:color="000000" w:sz="4"/>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Total Revenue</w:t>
            </w:r>
          </w:p>
          <w:p>
            <w:pPr>
              <w:jc w:val="center"/>
            </w:pPr>
            <w:r>
              <w:rPr>
                <w:rFonts w:ascii="Times New Roman" w:cs="Times New Roman" w:eastAsia="Times New Roman" w:hAnsi="Times New Roman"/>
                <w:b/>
                <w:bCs/>
                <w:color w:val="000000"/>
                <w:sz w:val="32"/>
                <w:szCs w:val="32"/>
              </w:rPr>
              <w:t xml:space="preserve">99.1 B</w:t>
            </w:r>
          </w:p>
          <w:p>
            <w:pPr>
              <w:jc w:val="center"/>
            </w:pPr>
            <w:r>
              <w:rPr>
                <w:rFonts w:ascii="Times New Roman" w:cs="Times New Roman" w:eastAsia="Times New Roman" w:hAnsi="Times New Roman"/>
                <w:i/>
                <w:iCs/>
                <w:color w:val="000000"/>
                <w:sz w:val="18"/>
                <w:szCs w:val="18"/>
              </w:rPr>
              <w:t xml:space="preserve">2021–2025</w:t>
            </w:r>
          </w:p>
        </w:tc>
        <w:tc>
          <w:tcPr>
            <w:tcW w:type="dxa" w:w="2340"/>
            <w:tcBorders>
              <w:top w:val="single" w:color="000000" w:sz="4"/>
              <w:left w:val="single" w:color="000000" w:sz="4"/>
              <w:bottom w:val="single" w:color="000000" w:sz="4"/>
              <w:right w:val="single" w:color="000000" w:sz="4"/>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Total Profit</w:t>
            </w:r>
          </w:p>
          <w:p>
            <w:pPr>
              <w:jc w:val="center"/>
            </w:pPr>
            <w:r>
              <w:rPr>
                <w:rFonts w:ascii="Times New Roman" w:cs="Times New Roman" w:eastAsia="Times New Roman" w:hAnsi="Times New Roman"/>
                <w:b/>
                <w:bCs/>
                <w:color w:val="000000"/>
                <w:sz w:val="32"/>
                <w:szCs w:val="32"/>
              </w:rPr>
              <w:t xml:space="preserve">22.9 B</w:t>
            </w:r>
          </w:p>
          <w:p>
            <w:pPr>
              <w:jc w:val="center"/>
            </w:pPr>
            <w:r>
              <w:rPr>
                <w:rFonts w:ascii="Times New Roman" w:cs="Times New Roman" w:eastAsia="Times New Roman" w:hAnsi="Times New Roman"/>
                <w:i/>
                <w:iCs/>
                <w:color w:val="000000"/>
                <w:sz w:val="18"/>
                <w:szCs w:val="18"/>
              </w:rPr>
              <w:t xml:space="preserve">Avg 23.8% margin</w:t>
            </w:r>
          </w:p>
        </w:tc>
        <w:tc>
          <w:tcPr>
            <w:tcW w:type="dxa" w:w="2340"/>
            <w:tcBorders>
              <w:top w:val="single" w:color="000000" w:sz="4"/>
              <w:left w:val="single" w:color="000000" w:sz="4"/>
              <w:bottom w:val="single" w:color="000000" w:sz="4"/>
              <w:right w:val="single" w:color="000000" w:sz="4"/>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Total Orders</w:t>
            </w:r>
          </w:p>
          <w:p>
            <w:pPr>
              <w:jc w:val="center"/>
            </w:pPr>
            <w:r>
              <w:rPr>
                <w:rFonts w:ascii="Times New Roman" w:cs="Times New Roman" w:eastAsia="Times New Roman" w:hAnsi="Times New Roman"/>
                <w:b/>
                <w:bCs/>
                <w:color w:val="000000"/>
                <w:sz w:val="32"/>
                <w:szCs w:val="32"/>
              </w:rPr>
              <w:t xml:space="preserve">14,981</w:t>
            </w:r>
          </w:p>
          <w:p>
            <w:pPr>
              <w:jc w:val="center"/>
            </w:pPr>
            <w:r>
              <w:rPr>
                <w:rFonts w:ascii="Times New Roman" w:cs="Times New Roman" w:eastAsia="Times New Roman" w:hAnsi="Times New Roman"/>
                <w:i/>
                <w:iCs/>
                <w:color w:val="000000"/>
                <w:sz w:val="18"/>
                <w:szCs w:val="18"/>
              </w:rPr>
              <w:t xml:space="preserve">5 years</w:t>
            </w:r>
          </w:p>
        </w:tc>
        <w:tc>
          <w:tcPr>
            <w:tcW w:type="dxa" w:w="2340"/>
            <w:tcBorders>
              <w:top w:val="single" w:color="000000" w:sz="4"/>
              <w:left w:val="single" w:color="000000" w:sz="4"/>
              <w:bottom w:val="single" w:color="000000" w:sz="4"/>
              <w:right w:val="single" w:color="000000" w:sz="4"/>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Profit Margin</w:t>
            </w:r>
          </w:p>
          <w:p>
            <w:pPr>
              <w:jc w:val="center"/>
            </w:pPr>
            <w:r>
              <w:rPr>
                <w:rFonts w:ascii="Times New Roman" w:cs="Times New Roman" w:eastAsia="Times New Roman" w:hAnsi="Times New Roman"/>
                <w:b/>
                <w:bCs/>
                <w:color w:val="000000"/>
                <w:sz w:val="32"/>
                <w:szCs w:val="32"/>
              </w:rPr>
              <w:t xml:space="preserve">23.8%</w:t>
            </w:r>
          </w:p>
          <w:p>
            <w:pPr>
              <w:jc w:val="center"/>
            </w:pPr>
            <w:r>
              <w:rPr>
                <w:rFonts w:ascii="Times New Roman" w:cs="Times New Roman" w:eastAsia="Times New Roman" w:hAnsi="Times New Roman"/>
                <w:i/>
                <w:iCs/>
                <w:color w:val="000000"/>
                <w:sz w:val="18"/>
                <w:szCs w:val="18"/>
              </w:rPr>
              <w:t xml:space="preserve">Avg all years</w:t>
            </w:r>
          </w:p>
        </w:tc>
      </w:tr>
    </w:tbl>
    <w:p>
      <w:pPr>
        <w:spacing w:after="0" w:before="160"/>
      </w:pPr>
    </w:p>
    <w:p>
      <w:pPr>
        <w:pStyle w:val="Heading3"/>
        <w:spacing w:after="80" w:before="200"/>
      </w:pPr>
      <w:r>
        <w:rPr>
          <w:rFonts w:ascii="Times New Roman" w:cs="Times New Roman" w:eastAsia="Times New Roman" w:hAnsi="Times New Roman"/>
          <w:b/>
          <w:bCs/>
          <w:color w:val="000000"/>
          <w:sz w:val="24"/>
          <w:szCs w:val="24"/>
        </w:rPr>
        <w:t xml:space="preserve">5.1.1  Chart H1 — Revenue and Profit Margin by Year (Dual-Axis)</w:t>
      </w:r>
    </w:p>
    <w:p>
      <w:pPr>
        <w:pStyle w:val="Heading3"/>
        <w:spacing w:after="80" w:before="200"/>
      </w:pPr>
      <w:r>
        <w:rPr>
          <w:rFonts w:ascii="Times New Roman" w:cs="Times New Roman" w:eastAsia="Times New Roman" w:hAnsi="Times New Roman"/>
          <w:b/>
          <w:bCs/>
          <w:color w:val="000000"/>
          <w:sz w:val="24"/>
          <w:szCs w:val="24"/>
        </w:rPr>
        <w:t xml:space="preserve">Chart Description</w:t>
      </w:r>
    </w:p>
    <w:p>
      <w:pPr>
        <w:spacing w:after="80" w:before="60" w:line="300"/>
      </w:pPr>
      <w:r>
        <w:rPr>
          <w:rFonts w:ascii="Times New Roman" w:cs="Times New Roman" w:eastAsia="Times New Roman" w:hAnsi="Times New Roman"/>
          <w:color w:val="000000"/>
          <w:sz w:val="24"/>
          <w:szCs w:val="24"/>
        </w:rPr>
        <w:t xml:space="preserve">H1 is a dual-axis combination chart: vertical bar (left Y-axis) represents total revenue by year; a line overlay (right Y-axis) represents average profit margin (%). Bar colors are encoded by profit margin using a Red-Green Diverging color scheme — green bars indicate higher-margin years, red bars indicate lower-margin years. This encoding allows simultaneous reading of both revenue scale and profitability quality.</w:t>
      </w:r>
    </w:p>
    <w:p>
      <w:pPr>
        <w:pStyle w:val="Heading3"/>
        <w:spacing w:after="80" w:before="200"/>
      </w:pPr>
      <w:r>
        <w:rPr>
          <w:rFonts w:ascii="Times New Roman" w:cs="Times New Roman" w:eastAsia="Times New Roman" w:hAnsi="Times New Roman"/>
          <w:b/>
          <w:bCs/>
          <w:color w:val="000000"/>
          <w:sz w:val="24"/>
          <w:szCs w:val="24"/>
        </w:rPr>
        <w:t xml:space="preserve">Results and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900"/>
        <w:gridCol w:w="2860"/>
      </w:tblGrid>
      <w:tr>
        <w:trPr>
          <w:tblHeader/>
        </w:trPr>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Year</w:t>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Revenue (B)</w:t>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YoY Growth</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Profit Margin</w:t>
            </w:r>
          </w:p>
        </w:tc>
        <w:tc>
          <w:tcPr>
            <w:tcW w:type="dxa" w:w="2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Assessment</w:t>
            </w:r>
          </w:p>
        </w:tc>
      </w:tr>
      <w:tr>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2021</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14.8 B</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w:t>
            </w:r>
          </w:p>
        </w:tc>
        <w:tc>
          <w:tcPr>
            <w:tcW w:type="dxa" w:w="19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25.3%</w:t>
            </w:r>
          </w:p>
        </w:tc>
        <w:tc>
          <w:tcPr>
            <w:tcW w:type="dxa" w:w="28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Base year — new product launches, lower volume</w:t>
            </w:r>
          </w:p>
        </w:tc>
      </w:tr>
      <w:tr>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2022</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21.0 B</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+41.7%</w:t>
            </w:r>
          </w:p>
        </w:tc>
        <w:tc>
          <w:tcPr>
            <w:tcW w:type="dxa" w:w="19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24.9%</w:t>
            </w:r>
          </w:p>
        </w:tc>
        <w:tc>
          <w:tcPr>
            <w:tcW w:type="dxa" w:w="28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Peak growth — post-pandemic demand recovery</w:t>
            </w:r>
          </w:p>
        </w:tc>
      </w:tr>
      <w:tr>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2023</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20.1 B</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-4.1%</w:t>
            </w:r>
          </w:p>
        </w:tc>
        <w:tc>
          <w:tcPr>
            <w:tcW w:type="dxa" w:w="19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24.5%</w:t>
            </w:r>
          </w:p>
        </w:tc>
        <w:tc>
          <w:tcPr>
            <w:tcW w:type="dxa" w:w="28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Slight contraction — macro headwinds</w:t>
            </w:r>
          </w:p>
        </w:tc>
      </w:tr>
      <w:tr>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2024</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21.4 B</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+6.3%</w:t>
            </w:r>
          </w:p>
        </w:tc>
        <w:tc>
          <w:tcPr>
            <w:tcW w:type="dxa" w:w="19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22.6%</w:t>
            </w:r>
          </w:p>
        </w:tc>
        <w:tc>
          <w:tcPr>
            <w:tcW w:type="dxa" w:w="28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Recovery — but margin compression begins</w:t>
            </w:r>
          </w:p>
        </w:tc>
      </w:tr>
      <w:tr>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2025</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21.7 B</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+1.5%</w:t>
            </w:r>
          </w:p>
        </w:tc>
        <w:tc>
          <w:tcPr>
            <w:tcW w:type="dxa" w:w="19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22.7%</w:t>
            </w:r>
          </w:p>
        </w:tc>
        <w:tc>
          <w:tcPr>
            <w:tcW w:type="dxa" w:w="28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Growth slowing, margin stabilizing at lower level</w:t>
            </w:r>
          </w:p>
        </w:tc>
      </w:tr>
    </w:tbl>
    <w:p>
      <w:pPr>
        <w:spacing w:after="0" w:before="80"/>
      </w:pPr>
    </w:p>
    <w:p>
      <w:pPr>
        <w:spacing w:after="100" w:before="100" w:line="300"/>
        <w:ind w:left="480"/>
      </w:pPr>
      <w:r>
        <w:rPr>
          <w:rFonts w:ascii="Times New Roman" w:cs="Times New Roman" w:eastAsia="Times New Roman" w:hAnsi="Times New Roman"/>
          <w:b/>
          <w:bCs/>
          <w:color w:val="000000"/>
          <w:sz w:val="24"/>
          <w:szCs w:val="24"/>
        </w:rPr>
        <w:t xml:space="preserve">Key Finding: Revenue growth vs. Margin divergence: </w:t>
      </w:r>
      <w:r>
        <w:rPr>
          <w:rFonts w:ascii="Times New Roman" w:cs="Times New Roman" w:eastAsia="Times New Roman" w:hAnsi="Times New Roman"/>
          <w:color w:val="000000"/>
          <w:sz w:val="24"/>
          <w:szCs w:val="24"/>
        </w:rPr>
        <w:t xml:space="preserve">While total revenue grew +46.5% from 2021 to 2025 (14.8B → 21.7B), profit margin fell 2.6 percentage points from 25.3% to 22.7%. This divergence between top-line growth and margin compression is the most critical trend in the entire 5-year period. The 2022 spike (+41.7%) was exceptional, driven by post-pandemic recovery rather than structural improvement. From 2023 onward, slower growth and rising costs explain the sustained margin decline.</w:t>
      </w:r>
    </w:p>
    <w:p>
      <w:pPr>
        <w:spacing w:after="0" w:before="80"/>
      </w:pPr>
    </w:p>
    <w:p>
      <w:pPr>
        <w:spacing w:after="100" w:before="100" w:line="300"/>
        <w:ind w:left="480"/>
      </w:pPr>
      <w:r>
        <w:rPr>
          <w:rFonts w:ascii="Times New Roman" w:cs="Times New Roman" w:eastAsia="Times New Roman" w:hAnsi="Times New Roman"/>
          <w:i/>
          <w:iCs/>
          <w:color w:val="000000"/>
          <w:sz w:val="24"/>
          <w:szCs w:val="24"/>
        </w:rPr>
        <w:t xml:space="preserve">The 2022 growth of +41.7% should not be used as a baseline for future planning. It represents a one-time post-pandemic demand surge. Sustainable organic growth for this business is estimated at 3–7% per year based on 2023–2025 trends.</w:t>
      </w:r>
    </w:p>
    <w:p>
      <w:pPr>
        <w:pStyle w:val="Heading3"/>
        <w:spacing w:after="80" w:before="200"/>
      </w:pPr>
      <w:r>
        <w:rPr>
          <w:rFonts w:ascii="Times New Roman" w:cs="Times New Roman" w:eastAsia="Times New Roman" w:hAnsi="Times New Roman"/>
          <w:b/>
          <w:bCs/>
          <w:color w:val="000000"/>
          <w:sz w:val="24"/>
          <w:szCs w:val="24"/>
        </w:rPr>
        <w:t xml:space="preserve">5.1.2  Chart H3b — Revenue Structure by Category (Pie Chart)</w:t>
      </w:r>
    </w:p>
    <w:p>
      <w:pPr>
        <w:pStyle w:val="Heading3"/>
        <w:spacing w:after="80" w:before="200"/>
      </w:pPr>
      <w:r>
        <w:rPr>
          <w:rFonts w:ascii="Times New Roman" w:cs="Times New Roman" w:eastAsia="Times New Roman" w:hAnsi="Times New Roman"/>
          <w:b/>
          <w:bCs/>
          <w:color w:val="000000"/>
          <w:sz w:val="24"/>
          <w:szCs w:val="24"/>
        </w:rPr>
        <w:t xml:space="preserve">Chart Description</w:t>
      </w:r>
    </w:p>
    <w:p>
      <w:pPr>
        <w:spacing w:after="80" w:before="60" w:line="300"/>
      </w:pPr>
      <w:r>
        <w:rPr>
          <w:rFonts w:ascii="Times New Roman" w:cs="Times New Roman" w:eastAsia="Times New Roman" w:hAnsi="Times New Roman"/>
          <w:color w:val="000000"/>
          <w:sz w:val="24"/>
          <w:szCs w:val="24"/>
        </w:rPr>
        <w:t xml:space="preserve">H3b is a pie chart displaying the percentage share of total 5-year revenue contributed by each of the 7 product categories. Each slice is labeled with category name and percentage. This chart is positioned to the right of H1 on Dashboard 1, providing instant visibility into the product revenue mix.</w:t>
      </w:r>
    </w:p>
    <w:p>
      <w:pPr>
        <w:pStyle w:val="Heading3"/>
        <w:spacing w:after="80" w:before="200"/>
      </w:pPr>
      <w:r>
        <w:rPr>
          <w:rFonts w:ascii="Times New Roman" w:cs="Times New Roman" w:eastAsia="Times New Roman" w:hAnsi="Times New Roman"/>
          <w:b/>
          <w:bCs/>
          <w:color w:val="000000"/>
          <w:sz w:val="24"/>
          <w:szCs w:val="24"/>
        </w:rPr>
        <w:t xml:space="preserve">Results and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200"/>
        <w:gridCol w:w="2460"/>
      </w:tblGrid>
      <w:tr>
        <w:trPr>
          <w:tblHeader/>
        </w:trP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Category</w:t>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Revenue (B)</w:t>
            </w:r>
          </w:p>
        </w:tc>
        <w:tc>
          <w:tcPr>
            <w:tcW w:type="dxa" w:w="1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Revenue Share</w:t>
            </w:r>
          </w:p>
        </w:tc>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Margin</w:t>
            </w:r>
          </w:p>
        </w:tc>
        <w:tc>
          <w:tcPr>
            <w:tcW w:type="dxa" w:w="24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Category Type</w:t>
            </w:r>
          </w:p>
        </w:tc>
      </w:tr>
      <w:tr>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Mi an lien (Instant Noodles)</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36.5 B</w:t>
            </w:r>
          </w:p>
        </w:tc>
        <w:tc>
          <w:tcPr>
            <w:tcW w:type="dxa" w:w="1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36.9%</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14.4%</w:t>
            </w:r>
          </w:p>
        </w:tc>
        <w:tc>
          <w:tcPr>
            <w:tcW w:type="dxa" w:w="24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Volume driver — low margin</w:t>
            </w:r>
          </w:p>
        </w:tc>
      </w:tr>
      <w:tr>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Bia (Beer)</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19.3 B</w:t>
            </w:r>
          </w:p>
        </w:tc>
        <w:tc>
          <w:tcPr>
            <w:tcW w:type="dxa" w:w="1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19.4%</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30.5%</w:t>
            </w:r>
          </w:p>
        </w:tc>
        <w:tc>
          <w:tcPr>
            <w:tcW w:type="dxa" w:w="24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High value — strong margin</w:t>
            </w:r>
          </w:p>
        </w:tc>
      </w:tr>
      <w:tr>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Gia vi (Seasoning)</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18.2 B</w:t>
            </w:r>
          </w:p>
        </w:tc>
        <w:tc>
          <w:tcPr>
            <w:tcW w:type="dxa" w:w="1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18.4%</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18.1%</w:t>
            </w:r>
          </w:p>
        </w:tc>
        <w:tc>
          <w:tcPr>
            <w:tcW w:type="dxa" w:w="24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Stable — moderate margin</w:t>
            </w:r>
          </w:p>
        </w:tc>
      </w:tr>
      <w:tr>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Thuc pham (Food)</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13.6 B</w:t>
            </w:r>
          </w:p>
        </w:tc>
        <w:tc>
          <w:tcPr>
            <w:tcW w:type="dxa" w:w="1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13.7%</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19.6%</w:t>
            </w:r>
          </w:p>
        </w:tc>
        <w:tc>
          <w:tcPr>
            <w:tcW w:type="dxa" w:w="24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Diversified — average margin</w:t>
            </w:r>
          </w:p>
        </w:tc>
      </w:tr>
      <w:tr>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Nuoc giai khat (Soft Drinks)</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5.3 B</w:t>
            </w:r>
          </w:p>
        </w:tc>
        <w:tc>
          <w:tcPr>
            <w:tcW w:type="dxa" w:w="1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5.3%</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37.1%</w:t>
            </w:r>
          </w:p>
        </w:tc>
        <w:tc>
          <w:tcPr>
            <w:tcW w:type="dxa" w:w="24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High margin — underdeveloped</w:t>
            </w:r>
          </w:p>
        </w:tc>
      </w:tr>
      <w:tr>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Do uong (Beverages)</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4.2 B</w:t>
            </w:r>
          </w:p>
        </w:tc>
        <w:tc>
          <w:tcPr>
            <w:tcW w:type="dxa" w:w="1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4.2%</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23.6%</w:t>
            </w:r>
          </w:p>
        </w:tc>
        <w:tc>
          <w:tcPr>
            <w:tcW w:type="dxa" w:w="24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Niche — average margin</w:t>
            </w:r>
          </w:p>
        </w:tc>
      </w:tr>
      <w:tr>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Snack</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2.0 B</w:t>
            </w:r>
          </w:p>
        </w:tc>
        <w:tc>
          <w:tcPr>
            <w:tcW w:type="dxa" w:w="1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2.0%</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26.9%</w:t>
            </w:r>
          </w:p>
        </w:tc>
        <w:tc>
          <w:tcPr>
            <w:tcW w:type="dxa" w:w="24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Small — above-average margin</w:t>
            </w:r>
          </w:p>
        </w:tc>
      </w:tr>
    </w:tbl>
    <w:p>
      <w:pPr>
        <w:spacing w:after="0" w:before="80"/>
      </w:pPr>
    </w:p>
    <w:p>
      <w:pPr>
        <w:spacing w:after="100" w:before="100" w:line="300"/>
        <w:ind w:left="480"/>
      </w:pPr>
      <w:r>
        <w:rPr>
          <w:rFonts w:ascii="Times New Roman" w:cs="Times New Roman" w:eastAsia="Times New Roman" w:hAnsi="Times New Roman"/>
          <w:b/>
          <w:bCs/>
          <w:color w:val="000000"/>
          <w:sz w:val="24"/>
          <w:szCs w:val="24"/>
        </w:rPr>
        <w:t xml:space="preserve">Strategic Implication: Category Paradox: </w:t>
      </w:r>
      <w:r>
        <w:rPr>
          <w:rFonts w:ascii="Times New Roman" w:cs="Times New Roman" w:eastAsia="Times New Roman" w:hAnsi="Times New Roman"/>
          <w:color w:val="000000"/>
          <w:sz w:val="24"/>
          <w:szCs w:val="24"/>
        </w:rPr>
        <w:t xml:space="preserve">The pie chart reveals a classic FMCG paradox: Mi an lien, which contributes 36.9% of revenue — more than the next two categories combined — delivers only 14.4% margin. Conversely, Nuoc giai khat, the 5th largest category at 5.3% revenue share, delivers the highest margin at 37.1%. A 1% revenue shift from Mi an lien to Nuoc giai khat would generate approximately 225 million VND in additional profit without any top-line growth.</w:t>
      </w:r>
    </w:p>
    <w:p>
      <w:pPr>
        <w:pStyle w:val="Heading3"/>
        <w:spacing w:after="80" w:before="200"/>
      </w:pPr>
      <w:r>
        <w:rPr>
          <w:rFonts w:ascii="Times New Roman" w:cs="Times New Roman" w:eastAsia="Times New Roman" w:hAnsi="Times New Roman"/>
          <w:b/>
          <w:bCs/>
          <w:color w:val="000000"/>
          <w:sz w:val="24"/>
          <w:szCs w:val="24"/>
        </w:rPr>
        <w:t xml:space="preserve">5.1.3  Chart H_CostStructure — Cost Structure (Pie Chart)</w:t>
      </w:r>
    </w:p>
    <w:p>
      <w:pPr>
        <w:pStyle w:val="Heading3"/>
        <w:spacing w:after="80" w:before="200"/>
      </w:pPr>
      <w:r>
        <w:rPr>
          <w:rFonts w:ascii="Times New Roman" w:cs="Times New Roman" w:eastAsia="Times New Roman" w:hAnsi="Times New Roman"/>
          <w:b/>
          <w:bCs/>
          <w:color w:val="000000"/>
          <w:sz w:val="24"/>
          <w:szCs w:val="24"/>
        </w:rPr>
        <w:t xml:space="preserve">Chart Description</w:t>
      </w:r>
    </w:p>
    <w:p>
      <w:pPr>
        <w:spacing w:after="80" w:before="60" w:line="300"/>
      </w:pPr>
      <w:r>
        <w:rPr>
          <w:rFonts w:ascii="Times New Roman" w:cs="Times New Roman" w:eastAsia="Times New Roman" w:hAnsi="Times New Roman"/>
          <w:color w:val="000000"/>
          <w:sz w:val="24"/>
          <w:szCs w:val="24"/>
        </w:rPr>
        <w:t xml:space="preserve">H_CostStructure is a pie chart decomposing total cost into four components: Raw Material Cost, Labor Cost, Logistics Cost, and Marketing Cost. This chart completes the overview story: Dashboard 1 now shows not only where revenue comes from (H3b) but also where costs go.</w:t>
      </w:r>
    </w:p>
    <w:p>
      <w:pPr>
        <w:pStyle w:val="Heading3"/>
        <w:spacing w:after="80" w:before="200"/>
      </w:pPr>
      <w:r>
        <w:rPr>
          <w:rFonts w:ascii="Times New Roman" w:cs="Times New Roman" w:eastAsia="Times New Roman" w:hAnsi="Times New Roman"/>
          <w:b/>
          <w:bCs/>
          <w:color w:val="000000"/>
          <w:sz w:val="24"/>
          <w:szCs w:val="24"/>
        </w:rPr>
        <w:t xml:space="preserve">Results and Analysis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3160"/>
      </w:tblGrid>
      <w:tr>
        <w:trPr>
          <w:tblHeader/>
        </w:trP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Cost Component</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Amount (B)</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of Total Cost</w:t>
            </w:r>
          </w:p>
        </w:tc>
        <w:tc>
          <w:tcPr>
            <w:tcW w:type="dxa" w:w="3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Trend 2021→2025</w:t>
            </w:r>
          </w:p>
        </w:tc>
      </w:tr>
      <w:tr>
        <w:tc>
          <w:tcPr>
            <w:tcW w:type="dxa" w:w="2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Raw Material Cost</w:t>
            </w:r>
          </w:p>
        </w:tc>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36.0 B</w:t>
            </w:r>
          </w:p>
        </w:tc>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47.2%</w:t>
            </w:r>
          </w:p>
        </w:tc>
        <w:tc>
          <w:tcPr>
            <w:tcW w:type="dxa" w:w="31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36.3% → 37.4% of Revenue ↑ Rising</w:t>
            </w:r>
          </w:p>
        </w:tc>
      </w:tr>
      <w:tr>
        <w:tc>
          <w:tcPr>
            <w:tcW w:type="dxa" w:w="2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Labor Cost</w:t>
            </w:r>
          </w:p>
        </w:tc>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16.1 B</w:t>
            </w:r>
          </w:p>
        </w:tc>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21.1%</w:t>
            </w:r>
          </w:p>
        </w:tc>
        <w:tc>
          <w:tcPr>
            <w:tcW w:type="dxa" w:w="31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16.0% → 16.7% of Revenue ↑ Gradual</w:t>
            </w:r>
          </w:p>
        </w:tc>
      </w:tr>
      <w:tr>
        <w:tc>
          <w:tcPr>
            <w:tcW w:type="dxa" w:w="2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Marketing Cost</w:t>
            </w:r>
          </w:p>
        </w:tc>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13.2 B</w:t>
            </w:r>
          </w:p>
        </w:tc>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17.3%</w:t>
            </w:r>
          </w:p>
        </w:tc>
        <w:tc>
          <w:tcPr>
            <w:tcW w:type="dxa" w:w="31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13.0% → 13.6% of Revenue ↑ Fastest growth</w:t>
            </w:r>
          </w:p>
        </w:tc>
      </w:tr>
      <w:tr>
        <w:tc>
          <w:tcPr>
            <w:tcW w:type="dxa" w:w="2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Logistics Cost</w:t>
            </w:r>
          </w:p>
        </w:tc>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10.8 B</w:t>
            </w:r>
          </w:p>
        </w:tc>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14.2%</w:t>
            </w:r>
          </w:p>
        </w:tc>
        <w:tc>
          <w:tcPr>
            <w:tcW w:type="dxa" w:w="31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10.6% → 11.4% of Revenue ↑ Moderate</w:t>
            </w:r>
          </w:p>
        </w:tc>
      </w:tr>
    </w:tbl>
    <w:p>
      <w:pPr>
        <w:spacing w:after="0" w:before="80"/>
      </w:pPr>
    </w:p>
    <w:p>
      <w:pPr>
        <w:spacing w:after="100" w:before="100" w:line="300"/>
        <w:ind w:left="480"/>
      </w:pPr>
      <w:r>
        <w:rPr>
          <w:rFonts w:ascii="Times New Roman" w:cs="Times New Roman" w:eastAsia="Times New Roman" w:hAnsi="Times New Roman"/>
          <w:b/>
          <w:bCs/>
          <w:color w:val="000000"/>
          <w:sz w:val="24"/>
          <w:szCs w:val="24"/>
        </w:rPr>
        <w:t xml:space="preserve">Primary Cost Driver Identified: </w:t>
      </w:r>
      <w:r>
        <w:rPr>
          <w:rFonts w:ascii="Times New Roman" w:cs="Times New Roman" w:eastAsia="Times New Roman" w:hAnsi="Times New Roman"/>
          <w:color w:val="000000"/>
          <w:sz w:val="24"/>
          <w:szCs w:val="24"/>
        </w:rPr>
        <w:t xml:space="preserve">Raw materials account for nearly half (47.2%) of all costs, and their share of revenue has been increasing — from 36.3% in 2021 to 37.4% in 2025. This is the single largest driver of margin compression observed in H1. Marketing costs, while smaller in absolute terms, are growing fastest proportionally (+0.6pp over 5 years), suggesting increasing competitive pressure and diminishing returns from traditional spend.</w:t>
      </w:r>
    </w:p>
    <w:p>
      <w:r>
        <w:br w:type="page"/>
      </w:r>
    </w:p>
    <w:p>
      <w:pPr>
        <w:pStyle w:val="Heading2"/>
        <w:spacing w:after="120" w:before="280"/>
      </w:pPr>
      <w:r>
        <w:rPr>
          <w:rFonts w:ascii="Times New Roman" w:cs="Times New Roman" w:eastAsia="Times New Roman" w:hAnsi="Times New Roman"/>
          <w:b/>
          <w:bCs/>
          <w:color w:val="000000"/>
          <w:sz w:val="28"/>
          <w:szCs w:val="28"/>
        </w:rPr>
        <w:t xml:space="preserve">5.2 Dashboard 2 — Product &amp; Category Analysis</w:t>
      </w:r>
    </w:p>
    <w:p>
      <w:pPr>
        <w:spacing w:after="80" w:before="60" w:line="300"/>
      </w:pPr>
      <w:r>
        <w:rPr>
          <w:rFonts w:ascii="Times New Roman" w:cs="Times New Roman" w:eastAsia="Times New Roman" w:hAnsi="Times New Roman"/>
          <w:color w:val="000000"/>
          <w:sz w:val="24"/>
          <w:szCs w:val="24"/>
        </w:rPr>
        <w:t xml:space="preserve">Purpose: Provide category managers and merchandising teams with detailed product-level and category-level performance analysis. Dashboard 2 contains charts for ranking, margin comparison, portfolio positioning, and cross-dimensional heatmap analysis.</w:t>
      </w:r>
    </w:p>
    <w:p>
      <w:pPr>
        <w:pStyle w:val="Heading3"/>
        <w:spacing w:after="80" w:before="200"/>
      </w:pPr>
      <w:r>
        <w:rPr>
          <w:rFonts w:ascii="Times New Roman" w:cs="Times New Roman" w:eastAsia="Times New Roman" w:hAnsi="Times New Roman"/>
          <w:b/>
          <w:bCs/>
          <w:color w:val="000000"/>
          <w:sz w:val="24"/>
          <w:szCs w:val="24"/>
        </w:rPr>
        <w:t xml:space="preserve">5.2.1  Chart H3 — Revenue and Margin by Category (Horizontal Bar)</w:t>
      </w:r>
    </w:p>
    <w:p>
      <w:pPr>
        <w:pStyle w:val="Heading3"/>
        <w:spacing w:after="80" w:before="200"/>
      </w:pPr>
      <w:r>
        <w:rPr>
          <w:rFonts w:ascii="Times New Roman" w:cs="Times New Roman" w:eastAsia="Times New Roman" w:hAnsi="Times New Roman"/>
          <w:b/>
          <w:bCs/>
          <w:color w:val="000000"/>
          <w:sz w:val="24"/>
          <w:szCs w:val="24"/>
        </w:rPr>
        <w:t xml:space="preserve">Chart Description</w:t>
      </w:r>
    </w:p>
    <w:p>
      <w:pPr>
        <w:spacing w:after="80" w:before="60" w:line="300"/>
      </w:pPr>
      <w:r>
        <w:rPr>
          <w:rFonts w:ascii="Times New Roman" w:cs="Times New Roman" w:eastAsia="Times New Roman" w:hAnsi="Times New Roman"/>
          <w:color w:val="000000"/>
          <w:sz w:val="24"/>
          <w:szCs w:val="24"/>
        </w:rPr>
        <w:t xml:space="preserve">H3 is a horizontal bar chart ranking 7 categories by total revenue in descending order. Bar fill color is encoded by average profit margin using a Red-Green Diverging color scheme centered at the overall average (23.8%). Green bars indicate above-average margin; red bars indicate below-average margin. This dual encoding allows simultaneous assessment of both revenue scale and profitability quality in a single glance.</w:t>
      </w:r>
    </w:p>
    <w:p>
      <w:pPr>
        <w:pStyle w:val="Heading3"/>
        <w:spacing w:after="80" w:before="200"/>
      </w:pPr>
      <w:r>
        <w:rPr>
          <w:rFonts w:ascii="Times New Roman" w:cs="Times New Roman" w:eastAsia="Times New Roman" w:hAnsi="Times New Roman"/>
          <w:b/>
          <w:bCs/>
          <w:color w:val="000000"/>
          <w:sz w:val="24"/>
          <w:szCs w:val="24"/>
        </w:rPr>
        <w:t xml:space="preserve">Results and Analysis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600"/>
        <w:gridCol w:w="1200"/>
        <w:gridCol w:w="1400"/>
        <w:gridCol w:w="3560"/>
      </w:tblGrid>
      <w:tr>
        <w:trPr>
          <w:tblHeader/>
        </w:trPr>
        <w:tc>
          <w:tcPr>
            <w:tcW w:type="dxa" w:w="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Rank</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Category</w:t>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Revenue (B)</w:t>
            </w:r>
          </w:p>
        </w:tc>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Share</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Margin</w:t>
            </w:r>
          </w:p>
        </w:tc>
        <w:tc>
          <w:tcPr>
            <w:tcW w:type="dxa" w:w="3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Color Signal</w:t>
            </w:r>
          </w:p>
        </w:tc>
      </w:tr>
      <w:tr>
        <w:tc>
          <w:tcPr>
            <w:tcW w:type="dxa" w:w="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1</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Mi an lien</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36.5 B</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36.9%</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14.4%</w:t>
            </w:r>
          </w:p>
        </w:tc>
        <w:tc>
          <w:tcPr>
            <w:tcW w:type="dxa" w:w="35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Red — below avg</w:t>
            </w:r>
          </w:p>
        </w:tc>
      </w:tr>
      <w:tr>
        <w:tc>
          <w:tcPr>
            <w:tcW w:type="dxa" w:w="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2</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Bia</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19.3 B</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19.4%</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30.5%</w:t>
            </w:r>
          </w:p>
        </w:tc>
        <w:tc>
          <w:tcPr>
            <w:tcW w:type="dxa" w:w="35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Green — above avg</w:t>
            </w:r>
          </w:p>
        </w:tc>
      </w:tr>
      <w:tr>
        <w:tc>
          <w:tcPr>
            <w:tcW w:type="dxa" w:w="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3</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Gia vi</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18.2 B</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18.4%</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18.1%</w:t>
            </w:r>
          </w:p>
        </w:tc>
        <w:tc>
          <w:tcPr>
            <w:tcW w:type="dxa" w:w="35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Orange — below avg</w:t>
            </w:r>
          </w:p>
        </w:tc>
      </w:tr>
      <w:tr>
        <w:tc>
          <w:tcPr>
            <w:tcW w:type="dxa" w:w="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4</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Thuc pham</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13.6 B</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13.7%</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19.6%</w:t>
            </w:r>
          </w:p>
        </w:tc>
        <w:tc>
          <w:tcPr>
            <w:tcW w:type="dxa" w:w="35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Neutral</w:t>
            </w:r>
          </w:p>
        </w:tc>
      </w:tr>
      <w:tr>
        <w:tc>
          <w:tcPr>
            <w:tcW w:type="dxa" w:w="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5</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Nuoc giai khat</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5.3 B</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5.3%</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37.1%</w:t>
            </w:r>
          </w:p>
        </w:tc>
        <w:tc>
          <w:tcPr>
            <w:tcW w:type="dxa" w:w="35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Dark green — highest</w:t>
            </w:r>
          </w:p>
        </w:tc>
      </w:tr>
      <w:tr>
        <w:tc>
          <w:tcPr>
            <w:tcW w:type="dxa" w:w="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6</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Do uong</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4.2 B</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4.2%</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23.6%</w:t>
            </w:r>
          </w:p>
        </w:tc>
        <w:tc>
          <w:tcPr>
            <w:tcW w:type="dxa" w:w="35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Neutral</w:t>
            </w:r>
          </w:p>
        </w:tc>
      </w:tr>
      <w:tr>
        <w:tc>
          <w:tcPr>
            <w:tcW w:type="dxa" w:w="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7</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Snack</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2.0 B</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2.0%</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26.9%</w:t>
            </w:r>
          </w:p>
        </w:tc>
        <w:tc>
          <w:tcPr>
            <w:tcW w:type="dxa" w:w="35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Light green</w:t>
            </w:r>
          </w:p>
        </w:tc>
      </w:tr>
    </w:tbl>
    <w:p>
      <w:pPr>
        <w:spacing w:after="0" w:before="80"/>
      </w:pPr>
    </w:p>
    <w:p>
      <w:pPr>
        <w:spacing w:after="100" w:before="100" w:line="300"/>
        <w:ind w:left="480"/>
      </w:pPr>
      <w:r>
        <w:rPr>
          <w:rFonts w:ascii="Times New Roman" w:cs="Times New Roman" w:eastAsia="Times New Roman" w:hAnsi="Times New Roman"/>
          <w:b/>
          <w:bCs/>
          <w:color w:val="000000"/>
          <w:sz w:val="24"/>
          <w:szCs w:val="24"/>
        </w:rPr>
        <w:t xml:space="preserve">Portfolio Imbalance Alert: </w:t>
      </w:r>
      <w:r>
        <w:rPr>
          <w:rFonts w:ascii="Times New Roman" w:cs="Times New Roman" w:eastAsia="Times New Roman" w:hAnsi="Times New Roman"/>
          <w:color w:val="000000"/>
          <w:sz w:val="24"/>
          <w:szCs w:val="24"/>
        </w:rPr>
        <w:t xml:space="preserve">The chart exposes a dangerous portfolio concentration: the single category with the lowest margin (Mi an lien at 14.4%) accounts for 36.9% of all revenue. Meanwhile, the two highest-margin categories (Nuoc giai khat 37.1% and Bia 30.5%) together represent only 24.7% of revenue. A rebalancing strategy — shifting marketing investment toward Beer and Soft Drinks — would improve overall margin without requiring revenue growth.</w:t>
      </w:r>
    </w:p>
    <w:p>
      <w:pPr>
        <w:pStyle w:val="Heading3"/>
        <w:spacing w:after="80" w:before="200"/>
      </w:pPr>
      <w:r>
        <w:rPr>
          <w:rFonts w:ascii="Times New Roman" w:cs="Times New Roman" w:eastAsia="Times New Roman" w:hAnsi="Times New Roman"/>
          <w:b/>
          <w:bCs/>
          <w:color w:val="000000"/>
          <w:sz w:val="24"/>
          <w:szCs w:val="24"/>
        </w:rPr>
        <w:t xml:space="preserve">5.2.2  Chart H4 — Top 10 Products by Revenue (Horizontal Bar)</w:t>
      </w:r>
    </w:p>
    <w:p>
      <w:pPr>
        <w:pStyle w:val="Heading3"/>
        <w:spacing w:after="80" w:before="200"/>
      </w:pPr>
      <w:r>
        <w:rPr>
          <w:rFonts w:ascii="Times New Roman" w:cs="Times New Roman" w:eastAsia="Times New Roman" w:hAnsi="Times New Roman"/>
          <w:b/>
          <w:bCs/>
          <w:color w:val="000000"/>
          <w:sz w:val="24"/>
          <w:szCs w:val="24"/>
        </w:rPr>
        <w:t xml:space="preserve">Chart Description</w:t>
      </w:r>
    </w:p>
    <w:p>
      <w:pPr>
        <w:spacing w:after="80" w:before="60" w:line="300"/>
      </w:pPr>
      <w:r>
        <w:rPr>
          <w:rFonts w:ascii="Times New Roman" w:cs="Times New Roman" w:eastAsia="Times New Roman" w:hAnsi="Times New Roman"/>
          <w:color w:val="000000"/>
          <w:sz w:val="24"/>
          <w:szCs w:val="24"/>
        </w:rPr>
        <w:t xml:space="preserve">H4 applies a Top 10 filter (by SUM of Revenue) to display the highest-revenue products as a horizontal bar chart. Margin values are shown as labels on each bar, enabling product-level profitability visibility alongside revenue ranking.</w:t>
      </w:r>
    </w:p>
    <w:p>
      <w:pPr>
        <w:pStyle w:val="Heading3"/>
        <w:spacing w:after="80" w:before="200"/>
      </w:pPr>
      <w:r>
        <w:rPr>
          <w:rFonts w:ascii="Times New Roman" w:cs="Times New Roman" w:eastAsia="Times New Roman" w:hAnsi="Times New Roman"/>
          <w:b/>
          <w:bCs/>
          <w:color w:val="000000"/>
          <w:sz w:val="24"/>
          <w:szCs w:val="24"/>
        </w:rPr>
        <w:t xml:space="preserve">Results and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600"/>
        <w:gridCol w:w="1200"/>
        <w:gridCol w:w="3460"/>
      </w:tblGrid>
      <w:tr>
        <w:trPr>
          <w:tblHeader/>
        </w:trPr>
        <w:tc>
          <w:tcPr>
            <w:tcW w:type="dxa" w:w="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Rank</w:t>
            </w:r>
          </w:p>
        </w:tc>
        <w:tc>
          <w:tcPr>
            <w:tcW w:type="dxa" w:w="2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Product</w:t>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Revenue (B)</w:t>
            </w:r>
          </w:p>
        </w:tc>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Margin</w:t>
            </w:r>
          </w:p>
        </w:tc>
        <w:tc>
          <w:tcPr>
            <w:tcW w:type="dxa" w:w="34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Assessment</w:t>
            </w:r>
          </w:p>
        </w:tc>
      </w:tr>
      <w:tr>
        <w:tc>
          <w:tcPr>
            <w:tcW w:type="dxa" w:w="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1</w:t>
            </w:r>
          </w:p>
        </w:tc>
        <w:tc>
          <w:tcPr>
            <w:tcW w:type="dxa" w:w="2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Mi Kokomi</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13.5 B</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12.2%</w:t>
            </w:r>
          </w:p>
        </w:tc>
        <w:tc>
          <w:tcPr>
            <w:tcW w:type="dxa" w:w="34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 Volume leader, margin below average</w:t>
            </w:r>
          </w:p>
        </w:tc>
      </w:tr>
      <w:tr>
        <w:tc>
          <w:tcPr>
            <w:tcW w:type="dxa" w:w="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2</w:t>
            </w:r>
          </w:p>
        </w:tc>
        <w:tc>
          <w:tcPr>
            <w:tcW w:type="dxa" w:w="2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Mi Omachi</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10.2 B</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3.1%</w:t>
            </w:r>
          </w:p>
        </w:tc>
        <w:tc>
          <w:tcPr>
            <w:tcW w:type="dxa" w:w="34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 Near breakeven — urgent review needed</w:t>
            </w:r>
          </w:p>
        </w:tc>
      </w:tr>
      <w:tr>
        <w:tc>
          <w:tcPr>
            <w:tcW w:type="dxa" w:w="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3</w:t>
            </w:r>
          </w:p>
        </w:tc>
        <w:tc>
          <w:tcPr>
            <w:tcW w:type="dxa" w:w="2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Bia Su Tu Trang lon</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8.1 B</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28.7%</w:t>
            </w:r>
          </w:p>
        </w:tc>
        <w:tc>
          <w:tcPr>
            <w:tcW w:type="dxa" w:w="34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 Star — high revenue + strong margin</w:t>
            </w:r>
          </w:p>
        </w:tc>
      </w:tr>
      <w:tr>
        <w:tc>
          <w:tcPr>
            <w:tcW w:type="dxa" w:w="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4</w:t>
            </w:r>
          </w:p>
        </w:tc>
        <w:tc>
          <w:tcPr>
            <w:tcW w:type="dxa" w:w="2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Nuoc mam Nam Ngu</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6.1 B</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11.0%</w:t>
            </w:r>
          </w:p>
        </w:tc>
        <w:tc>
          <w:tcPr>
            <w:tcW w:type="dxa" w:w="34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 High revenue, weak margin</w:t>
            </w:r>
          </w:p>
        </w:tc>
      </w:tr>
      <w:tr>
        <w:tc>
          <w:tcPr>
            <w:tcW w:type="dxa" w:w="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5</w:t>
            </w:r>
          </w:p>
        </w:tc>
        <w:tc>
          <w:tcPr>
            <w:tcW w:type="dxa" w:w="2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Tuong ot Chin-Su</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5.2 B</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23.6%</w:t>
            </w:r>
          </w:p>
        </w:tc>
        <w:tc>
          <w:tcPr>
            <w:tcW w:type="dxa" w:w="34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 Balanced — at average margin</w:t>
            </w:r>
          </w:p>
        </w:tc>
      </w:tr>
      <w:tr>
        <w:tc>
          <w:tcPr>
            <w:tcW w:type="dxa" w:w="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6</w:t>
            </w:r>
          </w:p>
        </w:tc>
        <w:tc>
          <w:tcPr>
            <w:tcW w:type="dxa" w:w="2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Pho mai Con Bo Cuoi</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4.8 B</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23.0%</w:t>
            </w:r>
          </w:p>
        </w:tc>
        <w:tc>
          <w:tcPr>
            <w:tcW w:type="dxa" w:w="34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 Premium product, healthy margin</w:t>
            </w:r>
          </w:p>
        </w:tc>
      </w:tr>
      <w:tr>
        <w:tc>
          <w:tcPr>
            <w:tcW w:type="dxa" w:w="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7</w:t>
            </w:r>
          </w:p>
        </w:tc>
        <w:tc>
          <w:tcPr>
            <w:tcW w:type="dxa" w:w="2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Bia Su Tu Trang chai</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4.8 B</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27.9%</w:t>
            </w:r>
          </w:p>
        </w:tc>
        <w:tc>
          <w:tcPr>
            <w:tcW w:type="dxa" w:w="34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 Strong performer</w:t>
            </w:r>
          </w:p>
        </w:tc>
      </w:tr>
      <w:tr>
        <w:tc>
          <w:tcPr>
            <w:tcW w:type="dxa" w:w="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8</w:t>
            </w:r>
          </w:p>
        </w:tc>
        <w:tc>
          <w:tcPr>
            <w:tcW w:type="dxa" w:w="2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Thit hop Ponnie</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4.1 B</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17.5%</w:t>
            </w:r>
          </w:p>
        </w:tc>
        <w:tc>
          <w:tcPr>
            <w:tcW w:type="dxa" w:w="34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Neutral</w:t>
            </w:r>
          </w:p>
        </w:tc>
      </w:tr>
      <w:tr>
        <w:tc>
          <w:tcPr>
            <w:tcW w:type="dxa" w:w="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9</w:t>
            </w:r>
          </w:p>
        </w:tc>
        <w:tc>
          <w:tcPr>
            <w:tcW w:type="dxa" w:w="2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Mi Omachi khoai tay</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3.6 B</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21.0%</w:t>
            </w:r>
          </w:p>
        </w:tc>
        <w:tc>
          <w:tcPr>
            <w:tcW w:type="dxa" w:w="34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Near average</w:t>
            </w:r>
          </w:p>
        </w:tc>
      </w:tr>
      <w:tr>
        <w:tc>
          <w:tcPr>
            <w:tcW w:type="dxa" w:w="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10</w:t>
            </w:r>
          </w:p>
        </w:tc>
        <w:tc>
          <w:tcPr>
            <w:tcW w:type="dxa" w:w="2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Bia Su Tu Vang chai</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3.3 B</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33.0%</w:t>
            </w:r>
          </w:p>
        </w:tc>
        <w:tc>
          <w:tcPr>
            <w:tcW w:type="dxa" w:w="34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 Best margin in top 10</w:t>
            </w:r>
          </w:p>
        </w:tc>
      </w:tr>
    </w:tbl>
    <w:p>
      <w:pPr>
        <w:spacing w:after="0" w:before="80"/>
      </w:pPr>
    </w:p>
    <w:p>
      <w:pPr>
        <w:spacing w:after="100" w:before="100" w:line="300"/>
        <w:ind w:left="480"/>
      </w:pPr>
      <w:r>
        <w:rPr>
          <w:rFonts w:ascii="Times New Roman" w:cs="Times New Roman" w:eastAsia="Times New Roman" w:hAnsi="Times New Roman"/>
          <w:i/>
          <w:iCs/>
          <w:color w:val="000000"/>
          <w:sz w:val="24"/>
          <w:szCs w:val="24"/>
        </w:rPr>
        <w:t xml:space="preserve">CRITICAL: Mi Omachi (ranked 2nd in revenue at 10.2B, 3.1% margin) is effectively at breakeven. At this margin, any increase in raw material or logistics costs would push the product into a loss position. This requires immediate review of pricing, cost structure, or product rationalization.</w:t>
      </w:r>
    </w:p>
    <w:p>
      <w:pPr>
        <w:spacing w:after="0" w:before="80"/>
      </w:pPr>
    </w:p>
    <w:p>
      <w:pPr>
        <w:spacing w:after="100" w:before="100" w:line="300"/>
        <w:ind w:left="480"/>
      </w:pPr>
      <w:r>
        <w:rPr>
          <w:rFonts w:ascii="Times New Roman" w:cs="Times New Roman" w:eastAsia="Times New Roman" w:hAnsi="Times New Roman"/>
          <w:b/>
          <w:bCs/>
          <w:color w:val="000000"/>
          <w:sz w:val="24"/>
          <w:szCs w:val="24"/>
        </w:rPr>
        <w:t xml:space="preserve">Bia Su Tu Portfolio: The Hidden Champions: </w:t>
      </w:r>
      <w:r>
        <w:rPr>
          <w:rFonts w:ascii="Times New Roman" w:cs="Times New Roman" w:eastAsia="Times New Roman" w:hAnsi="Times New Roman"/>
          <w:color w:val="000000"/>
          <w:sz w:val="24"/>
          <w:szCs w:val="24"/>
        </w:rPr>
        <w:t xml:space="preserve">Three Beer products appear in the top 10 (ranks 3, 7, 10) with margins of 28.7%, 27.9%, and 33.0% respectively. Combined revenue of these three products is 16.2B, representing 16.4% of total portfolio revenue — with margins nearly double the company average. This cluster is the single strongest argument for increasing investment in the Beer category.</w:t>
      </w:r>
    </w:p>
    <w:p>
      <w:pPr>
        <w:pStyle w:val="Heading3"/>
        <w:spacing w:after="80" w:before="200"/>
      </w:pPr>
      <w:r>
        <w:rPr>
          <w:rFonts w:ascii="Times New Roman" w:cs="Times New Roman" w:eastAsia="Times New Roman" w:hAnsi="Times New Roman"/>
          <w:b/>
          <w:bCs/>
          <w:color w:val="000000"/>
          <w:sz w:val="24"/>
          <w:szCs w:val="24"/>
        </w:rPr>
        <w:t xml:space="preserve">5.2.3  Chart H5 — Product BCG Matrix (Scatter/Bubble Chart)</w:t>
      </w:r>
    </w:p>
    <w:p>
      <w:pPr>
        <w:pStyle w:val="Heading3"/>
        <w:spacing w:after="80" w:before="200"/>
      </w:pPr>
      <w:r>
        <w:rPr>
          <w:rFonts w:ascii="Times New Roman" w:cs="Times New Roman" w:eastAsia="Times New Roman" w:hAnsi="Times New Roman"/>
          <w:b/>
          <w:bCs/>
          <w:color w:val="000000"/>
          <w:sz w:val="24"/>
          <w:szCs w:val="24"/>
        </w:rPr>
        <w:t xml:space="preserve">Chart Description</w:t>
      </w:r>
    </w:p>
    <w:p>
      <w:pPr>
        <w:spacing w:after="80" w:before="60" w:line="300"/>
      </w:pPr>
      <w:r>
        <w:rPr>
          <w:rFonts w:ascii="Times New Roman" w:cs="Times New Roman" w:eastAsia="Times New Roman" w:hAnsi="Times New Roman"/>
          <w:color w:val="000000"/>
          <w:sz w:val="24"/>
          <w:szCs w:val="24"/>
        </w:rPr>
        <w:t xml:space="preserve">H5 is a scatter chart plotting all 40 products by Revenue (X-axis) vs. Profit Margin % (Y-axis), with bubble size proportional to revenue. Two reference lines divide the chart into quadrants at the average revenue (2.48B) and average margin (23.6%), creating a BCG-style portfolio matrix. Points are colored by category for grouping insight.</w:t>
      </w:r>
    </w:p>
    <w:p>
      <w:pPr>
        <w:pStyle w:val="Heading3"/>
        <w:spacing w:after="80" w:before="200"/>
      </w:pPr>
      <w:r>
        <w:rPr>
          <w:rFonts w:ascii="Times New Roman" w:cs="Times New Roman" w:eastAsia="Times New Roman" w:hAnsi="Times New Roman"/>
          <w:b/>
          <w:bCs/>
          <w:color w:val="000000"/>
          <w:sz w:val="24"/>
          <w:szCs w:val="24"/>
        </w:rPr>
        <w:t xml:space="preserve">BCG Quadrant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900"/>
        <w:gridCol w:w="3000"/>
        <w:gridCol w:w="1660"/>
      </w:tblGrid>
      <w:tr>
        <w:trPr>
          <w:tblHeader/>
        </w:trPr>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Quadrant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Criteria</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Count</w:t>
            </w:r>
          </w:p>
        </w:tc>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Key Products</w:t>
            </w:r>
          </w:p>
        </w:tc>
        <w:tc>
          <w:tcPr>
            <w:tcW w:type="dxa" w:w="1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Strategy</w:t>
            </w:r>
          </w:p>
        </w:tc>
      </w:tr>
      <w:tr>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Stars</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Revenue ≥ avg AND Margin ≥ avg</w:t>
            </w:r>
          </w:p>
        </w:tc>
        <w:tc>
          <w:tcPr>
            <w:tcW w:type="dxa" w:w="9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w:t>
            </w:r>
          </w:p>
        </w:tc>
        <w:tc>
          <w:tcPr>
            <w:tcW w:type="dxa" w:w="3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Bia Su Tu Trang lon, Bia Su Tu Trang chai, Bia Su Tu Vang chai, Tuong ot Chin-Su</w:t>
            </w:r>
          </w:p>
        </w:tc>
        <w:tc>
          <w:tcPr>
            <w:tcW w:type="dxa" w:w="16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Invest and expand aggressively</w:t>
            </w:r>
          </w:p>
        </w:tc>
      </w:tr>
      <w:tr>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Cash Cows</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Revenue ≥ avg AND Margin &lt; avg</w:t>
            </w:r>
          </w:p>
        </w:tc>
        <w:tc>
          <w:tcPr>
            <w:tcW w:type="dxa" w:w="9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7</w:t>
            </w:r>
          </w:p>
        </w:tc>
        <w:tc>
          <w:tcPr>
            <w:tcW w:type="dxa" w:w="3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Mi Kokomi, Mi Omachi, Nuoc mam Nam Ngu, Pho mai Con Bo Cuoi, Thit hop Ponnie, Tuong ot, Mi Omachi variants</w:t>
            </w:r>
          </w:p>
        </w:tc>
        <w:tc>
          <w:tcPr>
            <w:tcW w:type="dxa" w:w="16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Optimize costs, harvest cash, monitor margin</w:t>
            </w:r>
          </w:p>
        </w:tc>
      </w:tr>
      <w:tr>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Question Marks</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Revenue &lt; avg AND Margin ≥ avg</w:t>
            </w:r>
          </w:p>
        </w:tc>
        <w:tc>
          <w:tcPr>
            <w:tcW w:type="dxa" w:w="9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14</w:t>
            </w:r>
          </w:p>
        </w:tc>
        <w:tc>
          <w:tcPr>
            <w:tcW w:type="dxa" w:w="3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Nuoc khoang Vinh Hao (48.3%), Wake-up 247 (44.2%), Nuoc tang luc Compact (36.0%), Bia Lion Gold (35.9%)</w:t>
            </w:r>
          </w:p>
        </w:tc>
        <w:tc>
          <w:tcPr>
            <w:tcW w:type="dxa" w:w="16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Push distribution, increase volume to move to Stars</w:t>
            </w:r>
          </w:p>
        </w:tc>
      </w:tr>
      <w:tr>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Dogs</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Revenue &lt; avg AND Margin &lt; avg</w:t>
            </w:r>
          </w:p>
        </w:tc>
        <w:tc>
          <w:tcPr>
            <w:tcW w:type="dxa" w:w="9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15</w:t>
            </w:r>
          </w:p>
        </w:tc>
        <w:tc>
          <w:tcPr>
            <w:tcW w:type="dxa" w:w="3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Muoi i-ot Vinh Hao (11%), Mien Kokomi (15%), Dau an Nakydaco (16%)</w:t>
            </w:r>
          </w:p>
        </w:tc>
        <w:tc>
          <w:tcPr>
            <w:tcW w:type="dxa" w:w="16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Rationalize — consider discontinuation or relaunch</w:t>
            </w:r>
          </w:p>
        </w:tc>
      </w:tr>
    </w:tbl>
    <w:p>
      <w:pPr>
        <w:spacing w:after="0" w:before="80"/>
      </w:pPr>
    </w:p>
    <w:p>
      <w:pPr>
        <w:spacing w:after="100" w:before="100" w:line="300"/>
        <w:ind w:left="480"/>
      </w:pPr>
      <w:r>
        <w:rPr>
          <w:rFonts w:ascii="Times New Roman" w:cs="Times New Roman" w:eastAsia="Times New Roman" w:hAnsi="Times New Roman"/>
          <w:b/>
          <w:bCs/>
          <w:color w:val="000000"/>
          <w:sz w:val="24"/>
          <w:szCs w:val="24"/>
        </w:rPr>
        <w:t xml:space="preserve">Priority Action: Develop Question Marks: </w:t>
      </w:r>
      <w:r>
        <w:rPr>
          <w:rFonts w:ascii="Times New Roman" w:cs="Times New Roman" w:eastAsia="Times New Roman" w:hAnsi="Times New Roman"/>
          <w:color w:val="000000"/>
          <w:sz w:val="24"/>
          <w:szCs w:val="24"/>
        </w:rPr>
        <w:t xml:space="preserve">14 products are classified as Question Marks — they already demonstrate strong margins (some above 40–48%) but lack the distribution scale to generate significant revenue. Nuoc khoang Vinh Hao at 48.3% margin and Nuoc tang luc Wake-up 247 at 44.2% margin are the clearest opportunities. Increasing their sales channel coverage and marketing investment should be the primary portfolio development priority.</w:t>
      </w:r>
    </w:p>
    <w:p>
      <w:pPr>
        <w:pStyle w:val="Heading3"/>
        <w:spacing w:after="80" w:before="200"/>
      </w:pPr>
      <w:r>
        <w:rPr>
          <w:rFonts w:ascii="Times New Roman" w:cs="Times New Roman" w:eastAsia="Times New Roman" w:hAnsi="Times New Roman"/>
          <w:b/>
          <w:bCs/>
          <w:color w:val="000000"/>
          <w:sz w:val="24"/>
          <w:szCs w:val="24"/>
        </w:rPr>
        <w:t xml:space="preserve">5.2.4  Chart H9 — Profit Margin Heatmap: Category × Branch</w:t>
      </w:r>
    </w:p>
    <w:p>
      <w:pPr>
        <w:pStyle w:val="Heading3"/>
        <w:spacing w:after="80" w:before="200"/>
      </w:pPr>
      <w:r>
        <w:rPr>
          <w:rFonts w:ascii="Times New Roman" w:cs="Times New Roman" w:eastAsia="Times New Roman" w:hAnsi="Times New Roman"/>
          <w:b/>
          <w:bCs/>
          <w:color w:val="000000"/>
          <w:sz w:val="24"/>
          <w:szCs w:val="24"/>
        </w:rPr>
        <w:t xml:space="preserve">Chart Description</w:t>
      </w:r>
    </w:p>
    <w:p>
      <w:pPr>
        <w:spacing w:after="80" w:before="60" w:line="300"/>
      </w:pPr>
      <w:r>
        <w:rPr>
          <w:rFonts w:ascii="Times New Roman" w:cs="Times New Roman" w:eastAsia="Times New Roman" w:hAnsi="Times New Roman"/>
          <w:color w:val="000000"/>
          <w:sz w:val="24"/>
          <w:szCs w:val="24"/>
        </w:rPr>
        <w:t xml:space="preserve">H9 uses Tableau's square mark type to build a 7×9 matrix heatmap with categories on rows and branches on columns. Cell color encodes average profit margin using a Green Sequential scale — darker green indicates higher margin. This chart is uniquely effective at detecting geographic anomalies: cells that deviate significantly from their row (category) average indicate distribution, pricing, or cost issues in specific branches.</w:t>
      </w:r>
    </w:p>
    <w:p>
      <w:pPr>
        <w:pStyle w:val="Heading3"/>
        <w:spacing w:after="80" w:before="200"/>
      </w:pPr>
      <w:r>
        <w:rPr>
          <w:rFonts w:ascii="Times New Roman" w:cs="Times New Roman" w:eastAsia="Times New Roman" w:hAnsi="Times New Roman"/>
          <w:b/>
          <w:bCs/>
          <w:color w:val="000000"/>
          <w:sz w:val="24"/>
          <w:szCs w:val="24"/>
        </w:rPr>
        <w:t xml:space="preserve">Key Observations from the Heatmap</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1400"/>
        <w:gridCol w:w="1560"/>
      </w:tblGrid>
      <w:tr>
        <w:trPr>
          <w:tblHeader/>
        </w:trPr>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Category</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Highest Margin Branch</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Lowest Margin Branch</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Variance</w:t>
            </w:r>
          </w:p>
        </w:tc>
        <w:tc>
          <w:tcPr>
            <w:tcW w:type="dxa" w:w="1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Alert</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Mi an lien</w:t>
            </w:r>
          </w:p>
        </w:tc>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Nha Trang 19.5%</w:t>
            </w:r>
          </w:p>
        </w:tc>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Binh Duong 10.3%</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9.2pp</w:t>
            </w:r>
          </w:p>
        </w:tc>
        <w:tc>
          <w:tcPr>
            <w:tcW w:type="dxa" w:w="15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High — requires investigation</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Nuoc giai khat</w:t>
            </w:r>
          </w:p>
        </w:tc>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Nha Trang 41.6%</w:t>
            </w:r>
          </w:p>
        </w:tc>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Da Nang 30.8%</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10.8pp</w:t>
            </w:r>
          </w:p>
        </w:tc>
        <w:tc>
          <w:tcPr>
            <w:tcW w:type="dxa" w:w="15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High — logistics cost differential</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Gia vi</w:t>
            </w:r>
          </w:p>
        </w:tc>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Hue 21.2%</w:t>
            </w:r>
          </w:p>
        </w:tc>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Hai Phong 14.0%</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7.2pp</w:t>
            </w:r>
          </w:p>
        </w:tc>
        <w:tc>
          <w:tcPr>
            <w:tcW w:type="dxa" w:w="15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Medium — pricing variance</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Bia</w:t>
            </w:r>
          </w:p>
        </w:tc>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Da Nang 32.8%</w:t>
            </w:r>
          </w:p>
        </w:tc>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Hai Phong 30.1%</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2.7pp</w:t>
            </w:r>
          </w:p>
        </w:tc>
        <w:tc>
          <w:tcPr>
            <w:tcW w:type="dxa" w:w="15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Normal — category consistent</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Snack</w:t>
            </w:r>
          </w:p>
        </w:tc>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All branches</w:t>
            </w:r>
          </w:p>
        </w:tc>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All branches</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&lt;1.5pp</w:t>
            </w:r>
          </w:p>
        </w:tc>
        <w:tc>
          <w:tcPr>
            <w:tcW w:type="dxa" w:w="15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Very stable — no anomaly</w:t>
            </w:r>
          </w:p>
        </w:tc>
      </w:tr>
    </w:tbl>
    <w:p>
      <w:pPr>
        <w:spacing w:after="0" w:before="80"/>
      </w:pPr>
    </w:p>
    <w:p>
      <w:pPr>
        <w:spacing w:after="100" w:before="100" w:line="300"/>
        <w:ind w:left="480"/>
      </w:pPr>
      <w:r>
        <w:rPr>
          <w:rFonts w:ascii="Times New Roman" w:cs="Times New Roman" w:eastAsia="Times New Roman" w:hAnsi="Times New Roman"/>
          <w:i/>
          <w:iCs/>
          <w:color w:val="000000"/>
          <w:sz w:val="24"/>
          <w:szCs w:val="24"/>
        </w:rPr>
        <w:t xml:space="preserve">Anomaly: Gia vi margin at Hai Phong branch is only 14.0% — 4.1 percentage points below the category average of 18.1% and the lowest of any branch-category combination for this category. This requires investigation into local distribution costs, pricing practices, or potential inventory shrinkage.</w:t>
      </w:r>
    </w:p>
    <w:p>
      <w:r>
        <w:br w:type="page"/>
      </w:r>
    </w:p>
    <w:p>
      <w:pPr>
        <w:pStyle w:val="Heading2"/>
        <w:spacing w:after="120" w:before="280"/>
      </w:pPr>
      <w:r>
        <w:rPr>
          <w:rFonts w:ascii="Times New Roman" w:cs="Times New Roman" w:eastAsia="Times New Roman" w:hAnsi="Times New Roman"/>
          <w:b/>
          <w:bCs/>
          <w:color w:val="000000"/>
          <w:sz w:val="28"/>
          <w:szCs w:val="28"/>
        </w:rPr>
        <w:t xml:space="preserve">5.3 Dashboard 3 — Geography &amp; Branch Analysis</w:t>
      </w:r>
    </w:p>
    <w:p>
      <w:pPr>
        <w:spacing w:after="80" w:before="60" w:line="300"/>
      </w:pPr>
      <w:r>
        <w:rPr>
          <w:rFonts w:ascii="Times New Roman" w:cs="Times New Roman" w:eastAsia="Times New Roman" w:hAnsi="Times New Roman"/>
          <w:color w:val="000000"/>
          <w:sz w:val="24"/>
          <w:szCs w:val="24"/>
        </w:rPr>
        <w:t xml:space="preserve">Purpose: Provide regional sales directors and branch managers with geographic performance benchmarking. Dashboard 3 covers regional revenue distribution, branch ranking, and branch trend analysis.</w:t>
      </w:r>
    </w:p>
    <w:p>
      <w:pPr>
        <w:pStyle w:val="Heading3"/>
        <w:spacing w:after="80" w:before="200"/>
      </w:pPr>
      <w:r>
        <w:rPr>
          <w:rFonts w:ascii="Times New Roman" w:cs="Times New Roman" w:eastAsia="Times New Roman" w:hAnsi="Times New Roman"/>
          <w:b/>
          <w:bCs/>
          <w:color w:val="000000"/>
          <w:sz w:val="24"/>
          <w:szCs w:val="24"/>
        </w:rPr>
        <w:t xml:space="preserve">5.3.1  Chart H6 — Revenue and Margin by Branch (Horizontal Bar)</w:t>
      </w:r>
    </w:p>
    <w:p>
      <w:pPr>
        <w:pStyle w:val="Heading3"/>
        <w:spacing w:after="80" w:before="200"/>
      </w:pPr>
      <w:r>
        <w:rPr>
          <w:rFonts w:ascii="Times New Roman" w:cs="Times New Roman" w:eastAsia="Times New Roman" w:hAnsi="Times New Roman"/>
          <w:b/>
          <w:bCs/>
          <w:color w:val="000000"/>
          <w:sz w:val="24"/>
          <w:szCs w:val="24"/>
        </w:rPr>
        <w:t xml:space="preserve">Chart Description</w:t>
      </w:r>
    </w:p>
    <w:p>
      <w:pPr>
        <w:spacing w:after="80" w:before="60" w:line="300"/>
      </w:pPr>
      <w:r>
        <w:rPr>
          <w:rFonts w:ascii="Times New Roman" w:cs="Times New Roman" w:eastAsia="Times New Roman" w:hAnsi="Times New Roman"/>
          <w:color w:val="000000"/>
          <w:sz w:val="24"/>
          <w:szCs w:val="24"/>
        </w:rPr>
        <w:t xml:space="preserve">H6 ranks all 9 branches by total revenue using a horizontal bar chart. Bar color encodes profit margin using Red-Green Diverging, allowing simultaneous revenue and profitability comparison across all branches in a single view.</w:t>
      </w:r>
    </w:p>
    <w:p>
      <w:pPr>
        <w:pStyle w:val="Heading3"/>
        <w:spacing w:after="80" w:before="200"/>
      </w:pPr>
      <w:r>
        <w:rPr>
          <w:rFonts w:ascii="Times New Roman" w:cs="Times New Roman" w:eastAsia="Times New Roman" w:hAnsi="Times New Roman"/>
          <w:b/>
          <w:bCs/>
          <w:color w:val="000000"/>
          <w:sz w:val="24"/>
          <w:szCs w:val="24"/>
        </w:rPr>
        <w:t xml:space="preserve">Results and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500"/>
        <w:gridCol w:w="1300"/>
        <w:gridCol w:w="3700"/>
      </w:tblGrid>
      <w:tr>
        <w:trPr>
          <w:tblHeader/>
        </w:trPr>
        <w:tc>
          <w:tcPr>
            <w:tcW w:type="dxa" w:w="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Rank</w:t>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Branch</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Region</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Revenue (B)</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Margin</w:t>
            </w:r>
          </w:p>
        </w:tc>
        <w:tc>
          <w:tcPr>
            <w:tcW w:type="dxa" w:w="3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Notes</w:t>
            </w:r>
          </w:p>
        </w:tc>
      </w:tr>
      <w:tr>
        <w:tc>
          <w:tcPr>
            <w:tcW w:type="dxa" w:w="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1</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Ha Noi</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North</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13.5 B</w:t>
            </w:r>
          </w:p>
        </w:tc>
        <w:tc>
          <w:tcPr>
            <w:tcW w:type="dxa" w:w="13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24.3%</w:t>
            </w:r>
          </w:p>
        </w:tc>
        <w:tc>
          <w:tcPr>
            <w:tcW w:type="dxa" w:w="3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 Largest branch, above-avg margin</w:t>
            </w:r>
          </w:p>
        </w:tc>
      </w:tr>
      <w:tr>
        <w:tc>
          <w:tcPr>
            <w:tcW w:type="dxa" w:w="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2</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Hai Phong</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North</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13.4 B</w:t>
            </w:r>
          </w:p>
        </w:tc>
        <w:tc>
          <w:tcPr>
            <w:tcW w:type="dxa" w:w="13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23.0%</w:t>
            </w:r>
          </w:p>
        </w:tc>
        <w:tc>
          <w:tcPr>
            <w:tcW w:type="dxa" w:w="3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Near average — volume-focused</w:t>
            </w:r>
          </w:p>
        </w:tc>
      </w:tr>
      <w:tr>
        <w:tc>
          <w:tcPr>
            <w:tcW w:type="dxa" w:w="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3</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TP.HCM</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South</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13.1 B</w:t>
            </w:r>
          </w:p>
        </w:tc>
        <w:tc>
          <w:tcPr>
            <w:tcW w:type="dxa" w:w="13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24.0%</w:t>
            </w:r>
          </w:p>
        </w:tc>
        <w:tc>
          <w:tcPr>
            <w:tcW w:type="dxa" w:w="3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 Strong metropolitan performance</w:t>
            </w:r>
          </w:p>
        </w:tc>
      </w:tr>
      <w:tr>
        <w:tc>
          <w:tcPr>
            <w:tcW w:type="dxa" w:w="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4</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Quang Ninh</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North</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12.8 B</w:t>
            </w:r>
          </w:p>
        </w:tc>
        <w:tc>
          <w:tcPr>
            <w:tcW w:type="dxa" w:w="13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22.3%</w:t>
            </w:r>
          </w:p>
        </w:tc>
        <w:tc>
          <w:tcPr>
            <w:tcW w:type="dxa" w:w="3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 Slightly below average margin</w:t>
            </w:r>
          </w:p>
        </w:tc>
      </w:tr>
      <w:tr>
        <w:tc>
          <w:tcPr>
            <w:tcW w:type="dxa" w:w="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5</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Can Tho</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South</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12.5 B</w:t>
            </w:r>
          </w:p>
        </w:tc>
        <w:tc>
          <w:tcPr>
            <w:tcW w:type="dxa" w:w="13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24.0%</w:t>
            </w:r>
          </w:p>
        </w:tc>
        <w:tc>
          <w:tcPr>
            <w:tcW w:type="dxa" w:w="3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 Regional hub performing well</w:t>
            </w:r>
          </w:p>
        </w:tc>
      </w:tr>
      <w:tr>
        <w:tc>
          <w:tcPr>
            <w:tcW w:type="dxa" w:w="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6</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Binh Duong</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South</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12.3 B</w:t>
            </w:r>
          </w:p>
        </w:tc>
        <w:tc>
          <w:tcPr>
            <w:tcW w:type="dxa" w:w="13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23.5%</w:t>
            </w:r>
          </w:p>
        </w:tc>
        <w:tc>
          <w:tcPr>
            <w:tcW w:type="dxa" w:w="3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Average — industrial zone market</w:t>
            </w:r>
          </w:p>
        </w:tc>
      </w:tr>
      <w:tr>
        <w:tc>
          <w:tcPr>
            <w:tcW w:type="dxa" w:w="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7</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Nha Trang</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Central</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8.8 B</w:t>
            </w:r>
          </w:p>
        </w:tc>
        <w:tc>
          <w:tcPr>
            <w:tcW w:type="dxa" w:w="13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25.6%</w:t>
            </w:r>
          </w:p>
        </w:tc>
        <w:tc>
          <w:tcPr>
            <w:tcW w:type="dxa" w:w="3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 Best margin — smaller but profitable</w:t>
            </w:r>
          </w:p>
        </w:tc>
      </w:tr>
      <w:tr>
        <w:tc>
          <w:tcPr>
            <w:tcW w:type="dxa" w:w="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8</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Hue</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Central</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8.4 B</w:t>
            </w:r>
          </w:p>
        </w:tc>
        <w:tc>
          <w:tcPr>
            <w:tcW w:type="dxa" w:w="13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24.2%</w:t>
            </w:r>
          </w:p>
        </w:tc>
        <w:tc>
          <w:tcPr>
            <w:tcW w:type="dxa" w:w="3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Good margin, smaller market</w:t>
            </w:r>
          </w:p>
        </w:tc>
      </w:tr>
      <w:tr>
        <w:tc>
          <w:tcPr>
            <w:tcW w:type="dxa" w:w="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9</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Da Nang</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Central</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4.3 B</w:t>
            </w:r>
          </w:p>
        </w:tc>
        <w:tc>
          <w:tcPr>
            <w:tcW w:type="dxa" w:w="13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23.4%</w:t>
            </w:r>
          </w:p>
        </w:tc>
        <w:tc>
          <w:tcPr>
            <w:tcW w:type="dxa" w:w="3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Smallest — significant growth potential</w:t>
            </w:r>
          </w:p>
        </w:tc>
      </w:tr>
    </w:tbl>
    <w:p>
      <w:pPr>
        <w:spacing w:after="0" w:before="80"/>
      </w:pPr>
    </w:p>
    <w:p>
      <w:pPr>
        <w:spacing w:after="100" w:before="100" w:line="300"/>
        <w:ind w:left="480"/>
      </w:pPr>
      <w:r>
        <w:rPr>
          <w:rFonts w:ascii="Times New Roman" w:cs="Times New Roman" w:eastAsia="Times New Roman" w:hAnsi="Times New Roman"/>
          <w:b/>
          <w:bCs/>
          <w:color w:val="000000"/>
          <w:sz w:val="24"/>
          <w:szCs w:val="24"/>
        </w:rPr>
        <w:t xml:space="preserve">Central Region: Small Volume, High Quality: </w:t>
      </w:r>
      <w:r>
        <w:rPr>
          <w:rFonts w:ascii="Times New Roman" w:cs="Times New Roman" w:eastAsia="Times New Roman" w:hAnsi="Times New Roman"/>
          <w:color w:val="000000"/>
          <w:sz w:val="24"/>
          <w:szCs w:val="24"/>
        </w:rPr>
        <w:t xml:space="preserve">Despite generating only 21.7% of total revenue, the Central region's three branches (Nha Trang 25.6%, Hue 24.2%, Da Nang 23.4%) all achieve above-average or average margins. Nha Trang leads all 9 branches in margin at 25.6%. This indicates the Central region serves a higher-value customer mix. Da Nang's revenue (4.3B) is less than a third of the Northern average, suggesting significant market penetration opportunity if the right category mix is deployed.</w:t>
      </w:r>
    </w:p>
    <w:p>
      <w:pPr>
        <w:pStyle w:val="Heading3"/>
        <w:spacing w:after="80" w:before="200"/>
      </w:pPr>
      <w:r>
        <w:rPr>
          <w:rFonts w:ascii="Times New Roman" w:cs="Times New Roman" w:eastAsia="Times New Roman" w:hAnsi="Times New Roman"/>
          <w:b/>
          <w:bCs/>
          <w:color w:val="000000"/>
          <w:sz w:val="24"/>
          <w:szCs w:val="24"/>
        </w:rPr>
        <w:t xml:space="preserve">5.3.2  Regional Revenue Distribution</w:t>
      </w:r>
    </w:p>
    <w:tbl>
      <w:tblPr>
        <w:tblW w:type="dxa" w:w="110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2800"/>
        <w:gridCol w:w="1600"/>
        <w:gridCol w:w="1760"/>
      </w:tblGrid>
      <w:tr>
        <w:trPr>
          <w:tblHeader/>
        </w:trP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Region</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Revenue (B)</w:t>
            </w:r>
          </w:p>
        </w:tc>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Share</w:t>
            </w:r>
          </w:p>
        </w:tc>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Branches</w:t>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Avg Branch Rev</w:t>
            </w:r>
          </w:p>
        </w:tc>
        <w:tc>
          <w:tcPr>
            <w:tcW w:type="dxa" w:w="1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Avg Margin</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Mien Bac (North)</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39.7 B</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40.0%</w:t>
            </w:r>
          </w:p>
        </w:tc>
        <w:tc>
          <w:tcPr>
            <w:tcW w:type="dxa" w:w="2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Ha Noi, Hai Phong, Quang Ninh</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13.2 B</w:t>
            </w:r>
          </w:p>
        </w:tc>
        <w:tc>
          <w:tcPr>
            <w:tcW w:type="dxa" w:w="17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23.2%</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Mien Nam (South)</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37.9 B</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38.3%</w:t>
            </w:r>
          </w:p>
        </w:tc>
        <w:tc>
          <w:tcPr>
            <w:tcW w:type="dxa" w:w="2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TP.HCM, Binh Duong, Can Tho</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12.6 B</w:t>
            </w:r>
          </w:p>
        </w:tc>
        <w:tc>
          <w:tcPr>
            <w:tcW w:type="dxa" w:w="17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23.8%</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Mien Trung (Central)</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21.5 B</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21.7%</w:t>
            </w:r>
          </w:p>
        </w:tc>
        <w:tc>
          <w:tcPr>
            <w:tcW w:type="dxa" w:w="2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Da Nang, Hue, Nha Trang</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7.2 B</w:t>
            </w:r>
          </w:p>
        </w:tc>
        <w:tc>
          <w:tcPr>
            <w:tcW w:type="dxa" w:w="17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24.4%</w:t>
            </w:r>
          </w:p>
        </w:tc>
      </w:tr>
    </w:tbl>
    <w:p>
      <w:pPr>
        <w:spacing w:after="0" w:before="80"/>
      </w:pPr>
    </w:p>
    <w:p>
      <w:pPr>
        <w:spacing w:after="100" w:before="100" w:line="300"/>
        <w:ind w:left="480"/>
      </w:pPr>
      <w:r>
        <w:rPr>
          <w:rFonts w:ascii="Times New Roman" w:cs="Times New Roman" w:eastAsia="Times New Roman" w:hAnsi="Times New Roman"/>
          <w:b/>
          <w:bCs/>
          <w:color w:val="000000"/>
          <w:sz w:val="24"/>
          <w:szCs w:val="24"/>
        </w:rPr>
        <w:t xml:space="preserve">Strategic Gap: North-South parity but Central underdeveloped: </w:t>
      </w:r>
      <w:r>
        <w:rPr>
          <w:rFonts w:ascii="Times New Roman" w:cs="Times New Roman" w:eastAsia="Times New Roman" w:hAnsi="Times New Roman"/>
          <w:color w:val="000000"/>
          <w:sz w:val="24"/>
          <w:szCs w:val="24"/>
        </w:rPr>
        <w:t xml:space="preserve">The North and South are nearly balanced in revenue (40.0% vs. 38.3%), but the Central region at 21.7% is significantly smaller. Notably, Central branches consistently achieve the highest average margin (24.4% vs. 23.2% North and 23.8% South). This combination of high margins and low penetration makes the Central region the highest-priority geographic expansion target.</w:t>
      </w:r>
    </w:p>
    <w:p>
      <w:r>
        <w:br w:type="page"/>
      </w:r>
    </w:p>
    <w:p>
      <w:pPr>
        <w:pStyle w:val="Heading2"/>
        <w:spacing w:after="120" w:before="280"/>
      </w:pPr>
      <w:r>
        <w:rPr>
          <w:rFonts w:ascii="Times New Roman" w:cs="Times New Roman" w:eastAsia="Times New Roman" w:hAnsi="Times New Roman"/>
          <w:b/>
          <w:bCs/>
          <w:color w:val="000000"/>
          <w:sz w:val="28"/>
          <w:szCs w:val="28"/>
        </w:rPr>
        <w:t xml:space="preserve">5.4 Dashboard 4 — Time &amp; Channel Analysis</w:t>
      </w:r>
    </w:p>
    <w:p>
      <w:pPr>
        <w:spacing w:after="80" w:before="60" w:line="300"/>
      </w:pPr>
      <w:r>
        <w:rPr>
          <w:rFonts w:ascii="Times New Roman" w:cs="Times New Roman" w:eastAsia="Times New Roman" w:hAnsi="Times New Roman"/>
          <w:color w:val="000000"/>
          <w:sz w:val="24"/>
          <w:szCs w:val="24"/>
        </w:rPr>
        <w:t xml:space="preserve">Purpose: Help marketing and channel managers understand seasonal revenue patterns, channel mix efficiency, and the relationship between weather and consumer demand. Dashboard 4 contains 4 KPI cards and 4 analytical charts.</w:t>
      </w:r>
    </w:p>
    <w:p>
      <w:pPr>
        <w:pStyle w:val="Heading3"/>
        <w:spacing w:after="80" w:before="200"/>
      </w:pPr>
      <w:r>
        <w:rPr>
          <w:rFonts w:ascii="Times New Roman" w:cs="Times New Roman" w:eastAsia="Times New Roman" w:hAnsi="Times New Roman"/>
          <w:b/>
          <w:bCs/>
          <w:color w:val="000000"/>
          <w:sz w:val="24"/>
          <w:szCs w:val="24"/>
        </w:rPr>
        <w:t xml:space="preserve">5.4.1  Chart H7 — Revenue Trend by Category (7-Line Chart)</w:t>
      </w:r>
    </w:p>
    <w:p>
      <w:pPr>
        <w:pStyle w:val="Heading3"/>
        <w:spacing w:after="80" w:before="200"/>
      </w:pPr>
      <w:r>
        <w:rPr>
          <w:rFonts w:ascii="Times New Roman" w:cs="Times New Roman" w:eastAsia="Times New Roman" w:hAnsi="Times New Roman"/>
          <w:b/>
          <w:bCs/>
          <w:color w:val="000000"/>
          <w:sz w:val="24"/>
          <w:szCs w:val="24"/>
        </w:rPr>
        <w:t xml:space="preserve">Chart Description</w:t>
      </w:r>
    </w:p>
    <w:p>
      <w:pPr>
        <w:spacing w:after="80" w:before="60" w:line="300"/>
      </w:pPr>
      <w:r>
        <w:rPr>
          <w:rFonts w:ascii="Times New Roman" w:cs="Times New Roman" w:eastAsia="Times New Roman" w:hAnsi="Times New Roman"/>
          <w:color w:val="000000"/>
          <w:sz w:val="24"/>
          <w:szCs w:val="24"/>
        </w:rPr>
        <w:t xml:space="preserve">H7 is a multi-line time-series chart displaying monthly revenue for all 7 categories simultaneously over the full 5-year period. Each category is represented by a distinct color line. This chart is the primary tool for identifying seasonal demand patterns and category-level growth trajectories.</w:t>
      </w:r>
    </w:p>
    <w:p>
      <w:pPr>
        <w:pStyle w:val="Heading3"/>
        <w:spacing w:after="80" w:before="200"/>
      </w:pPr>
      <w:r>
        <w:rPr>
          <w:rFonts w:ascii="Times New Roman" w:cs="Times New Roman" w:eastAsia="Times New Roman" w:hAnsi="Times New Roman"/>
          <w:b/>
          <w:bCs/>
          <w:color w:val="000000"/>
          <w:sz w:val="24"/>
          <w:szCs w:val="24"/>
        </w:rPr>
        <w:t xml:space="preserve">Key Seasonal Patterns Observed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2200"/>
        <w:gridCol w:w="5100"/>
      </w:tblGrid>
      <w:tr>
        <w:trPr>
          <w:tblHeader/>
        </w:trPr>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Month</w:t>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Total Revenue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Dominant Category</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Seasonal Driver</w:t>
            </w:r>
          </w:p>
        </w:tc>
      </w:tr>
      <w:tr>
        <w:tc>
          <w:tcPr>
            <w:tcW w:type="dxa" w:w="11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January</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8.4 B</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Mi an lien</w:t>
            </w:r>
          </w:p>
        </w:tc>
        <w:tc>
          <w:tcPr>
            <w:tcW w:type="dxa" w:w="51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Post-Tet stocking</w:t>
            </w:r>
          </w:p>
        </w:tc>
      </w:tr>
      <w:tr>
        <w:tc>
          <w:tcPr>
            <w:tcW w:type="dxa" w:w="11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February</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7.0 B</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Mi an lien</w:t>
            </w:r>
          </w:p>
        </w:tc>
        <w:tc>
          <w:tcPr>
            <w:tcW w:type="dxa" w:w="51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Post-Tet normalization</w:t>
            </w:r>
          </w:p>
        </w:tc>
      </w:tr>
      <w:tr>
        <w:tc>
          <w:tcPr>
            <w:tcW w:type="dxa" w:w="11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March</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7.1 B</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Mi an lien</w:t>
            </w:r>
          </w:p>
        </w:tc>
        <w:tc>
          <w:tcPr>
            <w:tcW w:type="dxa" w:w="51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Off-season</w:t>
            </w:r>
          </w:p>
        </w:tc>
      </w:tr>
      <w:tr>
        <w:tc>
          <w:tcPr>
            <w:tcW w:type="dxa" w:w="11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April</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8.2 B</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Mi an lien</w:t>
            </w:r>
          </w:p>
        </w:tc>
        <w:tc>
          <w:tcPr>
            <w:tcW w:type="dxa" w:w="51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Back-to-school</w:t>
            </w:r>
          </w:p>
        </w:tc>
      </w:tr>
      <w:tr>
        <w:tc>
          <w:tcPr>
            <w:tcW w:type="dxa" w:w="11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May</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10.5 B</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Mi an lien 5.0B</w:t>
            </w:r>
          </w:p>
        </w:tc>
        <w:tc>
          <w:tcPr>
            <w:tcW w:type="dxa" w:w="51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PEAK — May spike (stock-up season)</w:t>
            </w:r>
          </w:p>
        </w:tc>
      </w:tr>
      <w:tr>
        <w:tc>
          <w:tcPr>
            <w:tcW w:type="dxa" w:w="11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June</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8.0 B</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Mi an lien</w:t>
            </w:r>
          </w:p>
        </w:tc>
        <w:tc>
          <w:tcPr>
            <w:tcW w:type="dxa" w:w="51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Rainy season begins</w:t>
            </w:r>
          </w:p>
        </w:tc>
      </w:tr>
      <w:tr>
        <w:tc>
          <w:tcPr>
            <w:tcW w:type="dxa" w:w="11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July</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9.4 B</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Bia 2.0B</w:t>
            </w:r>
          </w:p>
        </w:tc>
        <w:tc>
          <w:tcPr>
            <w:tcW w:type="dxa" w:w="51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Beer peak — summer heat</w:t>
            </w:r>
          </w:p>
        </w:tc>
      </w:tr>
      <w:tr>
        <w:tc>
          <w:tcPr>
            <w:tcW w:type="dxa" w:w="11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August</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8.6 B</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Bia 2.2B</w:t>
            </w:r>
          </w:p>
        </w:tc>
        <w:tc>
          <w:tcPr>
            <w:tcW w:type="dxa" w:w="51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Beer high — hottest month</w:t>
            </w:r>
          </w:p>
        </w:tc>
      </w:tr>
      <w:tr>
        <w:tc>
          <w:tcPr>
            <w:tcW w:type="dxa" w:w="11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September</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8.6 B</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Mi an lien 4.4B</w:t>
            </w:r>
          </w:p>
        </w:tc>
        <w:tc>
          <w:tcPr>
            <w:tcW w:type="dxa" w:w="51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Autumn campaign</w:t>
            </w:r>
          </w:p>
        </w:tc>
      </w:tr>
      <w:tr>
        <w:tc>
          <w:tcPr>
            <w:tcW w:type="dxa" w:w="11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October</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8.7 B</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Thuc pham 1.5B</w:t>
            </w:r>
          </w:p>
        </w:tc>
        <w:tc>
          <w:tcPr>
            <w:tcW w:type="dxa" w:w="51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Food gifting season</w:t>
            </w:r>
          </w:p>
        </w:tc>
      </w:tr>
      <w:tr>
        <w:tc>
          <w:tcPr>
            <w:tcW w:type="dxa" w:w="11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November</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7.6 B</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Mi an lien</w:t>
            </w:r>
          </w:p>
        </w:tc>
        <w:tc>
          <w:tcPr>
            <w:tcW w:type="dxa" w:w="51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Pre-Tet early stock</w:t>
            </w:r>
          </w:p>
        </w:tc>
      </w:tr>
      <w:tr>
        <w:tc>
          <w:tcPr>
            <w:tcW w:type="dxa" w:w="11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December</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6.9 B</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Mi an lien</w:t>
            </w:r>
          </w:p>
        </w:tc>
        <w:tc>
          <w:tcPr>
            <w:tcW w:type="dxa" w:w="51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Year-end — holiday prep</w:t>
            </w:r>
          </w:p>
        </w:tc>
      </w:tr>
    </w:tbl>
    <w:p>
      <w:pPr>
        <w:spacing w:after="0" w:before="80"/>
      </w:pPr>
    </w:p>
    <w:p>
      <w:pPr>
        <w:spacing w:after="100" w:before="100" w:line="300"/>
        <w:ind w:left="480"/>
      </w:pPr>
      <w:r>
        <w:rPr>
          <w:rFonts w:ascii="Times New Roman" w:cs="Times New Roman" w:eastAsia="Times New Roman" w:hAnsi="Times New Roman"/>
          <w:b/>
          <w:bCs/>
          <w:color w:val="000000"/>
          <w:sz w:val="24"/>
          <w:szCs w:val="24"/>
        </w:rPr>
        <w:t xml:space="preserve">May Revenue Spike: The Most Important Business Pattern: </w:t>
      </w:r>
      <w:r>
        <w:rPr>
          <w:rFonts w:ascii="Times New Roman" w:cs="Times New Roman" w:eastAsia="Times New Roman" w:hAnsi="Times New Roman"/>
          <w:color w:val="000000"/>
          <w:sz w:val="24"/>
          <w:szCs w:val="24"/>
        </w:rPr>
        <w:t xml:space="preserve">May records the highest monthly revenue at 10.5B — 50% above February's low of 7.0B. This spike is driven almost entirely by Mi an lien (5.0B in May alone), likely representing distributor and retail stockpiling ahead of the summer heat season. Understanding this pattern allows procurement and logistics teams to pre-position inventory 4–6 weeks in advance, avoiding stock-outs and reducing emergency logistics costs.</w:t>
      </w:r>
    </w:p>
    <w:p>
      <w:pPr>
        <w:spacing w:after="0" w:before="80"/>
      </w:pPr>
    </w:p>
    <w:p>
      <w:pPr>
        <w:spacing w:after="100" w:before="100" w:line="300"/>
        <w:ind w:left="480"/>
      </w:pPr>
      <w:r>
        <w:rPr>
          <w:rFonts w:ascii="Times New Roman" w:cs="Times New Roman" w:eastAsia="Times New Roman" w:hAnsi="Times New Roman"/>
          <w:i/>
          <w:iCs/>
          <w:color w:val="000000"/>
          <w:sz w:val="24"/>
          <w:szCs w:val="24"/>
        </w:rPr>
        <w:t xml:space="preserve">Beer (Bia) shows a clear summer peak in July–August (2.0–2.2B/month) versus a winter trough in November–January (~1.3–1.4B/month). For a high-margin category (30.5%), this seasonal gap of ~700M/month represents significant untapped revenue. Winter marketing campaigns and bundled promotions could partially smooth this curve.</w:t>
      </w:r>
    </w:p>
    <w:p>
      <w:pPr>
        <w:pStyle w:val="Heading3"/>
        <w:spacing w:after="80" w:before="200"/>
      </w:pPr>
      <w:r>
        <w:rPr>
          <w:rFonts w:ascii="Times New Roman" w:cs="Times New Roman" w:eastAsia="Times New Roman" w:hAnsi="Times New Roman"/>
          <w:b/>
          <w:bCs/>
          <w:color w:val="000000"/>
          <w:sz w:val="24"/>
          <w:szCs w:val="24"/>
        </w:rPr>
        <w:t xml:space="preserve">5.4.2  Chart H8 — Revenue by Sales Channel (Horizontal Bar)</w:t>
      </w:r>
    </w:p>
    <w:p>
      <w:pPr>
        <w:pStyle w:val="Heading3"/>
        <w:spacing w:after="80" w:before="200"/>
      </w:pPr>
      <w:r>
        <w:rPr>
          <w:rFonts w:ascii="Times New Roman" w:cs="Times New Roman" w:eastAsia="Times New Roman" w:hAnsi="Times New Roman"/>
          <w:b/>
          <w:bCs/>
          <w:color w:val="000000"/>
          <w:sz w:val="24"/>
          <w:szCs w:val="24"/>
        </w:rPr>
        <w:t xml:space="preserve">Chart Description</w:t>
      </w:r>
    </w:p>
    <w:p>
      <w:pPr>
        <w:spacing w:after="80" w:before="60" w:line="300"/>
      </w:pPr>
      <w:r>
        <w:rPr>
          <w:rFonts w:ascii="Times New Roman" w:cs="Times New Roman" w:eastAsia="Times New Roman" w:hAnsi="Times New Roman"/>
          <w:color w:val="000000"/>
          <w:sz w:val="24"/>
          <w:szCs w:val="24"/>
        </w:rPr>
        <w:t xml:space="preserve">H8 is a horizontal bar chart ranking all 6 sales channels by total revenue. Margin values are shown as labels, enabling a direct channel efficiency comparison: which channels generate the most revenue AND the most profit per dollar of revenue.</w:t>
      </w:r>
    </w:p>
    <w:p>
      <w:pPr>
        <w:pStyle w:val="Heading3"/>
        <w:spacing w:after="80" w:before="200"/>
      </w:pPr>
      <w:r>
        <w:rPr>
          <w:rFonts w:ascii="Times New Roman" w:cs="Times New Roman" w:eastAsia="Times New Roman" w:hAnsi="Times New Roman"/>
          <w:b/>
          <w:bCs/>
          <w:color w:val="000000"/>
          <w:sz w:val="24"/>
          <w:szCs w:val="24"/>
        </w:rPr>
        <w:t xml:space="preserve">Results and Analysis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600"/>
        <w:gridCol w:w="1200"/>
        <w:gridCol w:w="1400"/>
        <w:gridCol w:w="3360"/>
      </w:tblGrid>
      <w:tr>
        <w:trPr>
          <w:tblHeader/>
        </w:trPr>
        <w:tc>
          <w:tcPr>
            <w:tcW w:type="dxa" w:w="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Rank</w:t>
            </w:r>
          </w:p>
        </w:tc>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Channel</w:t>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Revenue (B)</w:t>
            </w:r>
          </w:p>
        </w:tc>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Share</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Margin</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Channel Type</w:t>
            </w:r>
          </w:p>
        </w:tc>
      </w:tr>
      <w:tr>
        <w:tc>
          <w:tcPr>
            <w:tcW w:type="dxa" w:w="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1</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Traditional trade</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25.3 B</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25.5%</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24.5%</w:t>
            </w:r>
          </w:p>
        </w:tc>
        <w:tc>
          <w:tcPr>
            <w:tcW w:type="dxa" w:w="33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Offline — grocery stores, wet markets</w:t>
            </w:r>
          </w:p>
        </w:tc>
      </w:tr>
      <w:tr>
        <w:tc>
          <w:tcPr>
            <w:tcW w:type="dxa" w:w="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2</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Retail promotion</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21.3 B</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21.5%</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24.4%</w:t>
            </w:r>
          </w:p>
        </w:tc>
        <w:tc>
          <w:tcPr>
            <w:tcW w:type="dxa" w:w="33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Offline — in-store promotions</w:t>
            </w:r>
          </w:p>
        </w:tc>
      </w:tr>
      <w:tr>
        <w:tc>
          <w:tcPr>
            <w:tcW w:type="dxa" w:w="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3</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Ecommerce</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17.8 B</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18.0%</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24.5%</w:t>
            </w:r>
          </w:p>
        </w:tc>
        <w:tc>
          <w:tcPr>
            <w:tcW w:type="dxa" w:w="33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Online — e-commerce platforms</w:t>
            </w:r>
          </w:p>
        </w:tc>
      </w:tr>
      <w:tr>
        <w:tc>
          <w:tcPr>
            <w:tcW w:type="dxa" w:w="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4</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Facebook</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13.0 B</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13.1%</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21.7%</w:t>
            </w:r>
          </w:p>
        </w:tc>
        <w:tc>
          <w:tcPr>
            <w:tcW w:type="dxa" w:w="33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Digital — social commerce</w:t>
            </w:r>
          </w:p>
        </w:tc>
      </w:tr>
      <w:tr>
        <w:tc>
          <w:tcPr>
            <w:tcW w:type="dxa" w:w="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5</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TV</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12.0 B</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12.2%</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23.9%</w:t>
            </w:r>
          </w:p>
        </w:tc>
        <w:tc>
          <w:tcPr>
            <w:tcW w:type="dxa" w:w="33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Broadcast — TV shopping/infomercials</w:t>
            </w:r>
          </w:p>
        </w:tc>
      </w:tr>
      <w:tr>
        <w:tc>
          <w:tcPr>
            <w:tcW w:type="dxa" w:w="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6</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Other</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9.6 B</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9.7%</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21.7%</w:t>
            </w:r>
          </w:p>
        </w:tc>
        <w:tc>
          <w:tcPr>
            <w:tcW w:type="dxa" w:w="33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Mixed</w:t>
            </w:r>
          </w:p>
        </w:tc>
      </w:tr>
    </w:tbl>
    <w:p>
      <w:pPr>
        <w:spacing w:after="0" w:before="80"/>
      </w:pPr>
    </w:p>
    <w:p>
      <w:pPr>
        <w:spacing w:after="100" w:before="100" w:line="300"/>
        <w:ind w:left="480"/>
      </w:pPr>
      <w:r>
        <w:rPr>
          <w:rFonts w:ascii="Times New Roman" w:cs="Times New Roman" w:eastAsia="Times New Roman" w:hAnsi="Times New Roman"/>
          <w:b/>
          <w:bCs/>
          <w:color w:val="000000"/>
          <w:sz w:val="24"/>
          <w:szCs w:val="24"/>
        </w:rPr>
        <w:t xml:space="preserve">Digital Channels Closing the Gap: </w:t>
      </w:r>
      <w:r>
        <w:rPr>
          <w:rFonts w:ascii="Times New Roman" w:cs="Times New Roman" w:eastAsia="Times New Roman" w:hAnsi="Times New Roman"/>
          <w:color w:val="000000"/>
          <w:sz w:val="24"/>
          <w:szCs w:val="24"/>
        </w:rPr>
        <w:t xml:space="preserve">Offline channels (Traditional trade + Retail promotion) still dominate at 47.0% combined revenue share. However, Ecommerce alone has reached 18.0% — exceeding Facebook (13.1%) and TV (12.2%) combined, and achieving the same 24.5% margin as Traditional trade. This suggests that online-to-offline margin parity has been achieved, removing the traditional objection to digital channel investment. Increasing Ecommerce investment now carries low risk and favorable margin profile.</w:t>
      </w:r>
    </w:p>
    <w:p>
      <w:pPr>
        <w:spacing w:after="0" w:before="80"/>
      </w:pPr>
    </w:p>
    <w:p>
      <w:pPr>
        <w:spacing w:after="100" w:before="100" w:line="300"/>
        <w:ind w:left="480"/>
      </w:pPr>
      <w:r>
        <w:rPr>
          <w:rFonts w:ascii="Times New Roman" w:cs="Times New Roman" w:eastAsia="Times New Roman" w:hAnsi="Times New Roman"/>
          <w:i/>
          <w:iCs/>
          <w:color w:val="000000"/>
          <w:sz w:val="24"/>
          <w:szCs w:val="24"/>
        </w:rPr>
        <w:t xml:space="preserve">Facebook and Other channels both show the lowest margin at 21.7% — 2.8 percentage points below the top channels. These channels either attract more price-sensitive customers or carry higher fulfillment costs. Before increasing spend on these channels, a deeper cost-to-serve analysis is recommended.</w:t>
      </w:r>
    </w:p>
    <w:p>
      <w:pPr>
        <w:pStyle w:val="Heading3"/>
        <w:spacing w:after="80" w:before="200"/>
      </w:pPr>
      <w:r>
        <w:rPr>
          <w:rFonts w:ascii="Times New Roman" w:cs="Times New Roman" w:eastAsia="Times New Roman" w:hAnsi="Times New Roman"/>
          <w:b/>
          <w:bCs/>
          <w:color w:val="000000"/>
          <w:sz w:val="24"/>
          <w:szCs w:val="24"/>
        </w:rPr>
        <w:t xml:space="preserve">5.4.3  Chart H_Weather — Revenue vs. Temperature (Dual-Axis)</w:t>
      </w:r>
    </w:p>
    <w:p>
      <w:pPr>
        <w:pStyle w:val="Heading3"/>
        <w:spacing w:after="80" w:before="200"/>
      </w:pPr>
      <w:r>
        <w:rPr>
          <w:rFonts w:ascii="Times New Roman" w:cs="Times New Roman" w:eastAsia="Times New Roman" w:hAnsi="Times New Roman"/>
          <w:b/>
          <w:bCs/>
          <w:color w:val="000000"/>
          <w:sz w:val="24"/>
          <w:szCs w:val="24"/>
        </w:rPr>
        <w:t xml:space="preserve">Chart Description</w:t>
      </w:r>
    </w:p>
    <w:p>
      <w:pPr>
        <w:spacing w:after="80" w:before="60" w:line="300"/>
      </w:pPr>
      <w:r>
        <w:rPr>
          <w:rFonts w:ascii="Times New Roman" w:cs="Times New Roman" w:eastAsia="Times New Roman" w:hAnsi="Times New Roman"/>
          <w:color w:val="000000"/>
          <w:sz w:val="24"/>
          <w:szCs w:val="24"/>
        </w:rPr>
        <w:t xml:space="preserve">H_Weather is a dual-axis chart combining stacked bar chart (monthly revenue by year, 2021–2025 stacked, left Y-axis) with a line chart (monthly mean temperature in °C, right Y-axis, shown in red). This chart is unique in the dashboard suite as it integrates data from two separate fact tables (fact_marketing_sales and fact_weather_daily) joined through the pre-built view dw.v_sales_weather.</w:t>
      </w:r>
    </w:p>
    <w:p>
      <w:pPr>
        <w:pStyle w:val="Heading3"/>
        <w:spacing w:after="80" w:before="200"/>
      </w:pPr>
      <w:r>
        <w:rPr>
          <w:rFonts w:ascii="Times New Roman" w:cs="Times New Roman" w:eastAsia="Times New Roman" w:hAnsi="Times New Roman"/>
          <w:b/>
          <w:bCs/>
          <w:color w:val="000000"/>
          <w:sz w:val="24"/>
          <w:szCs w:val="24"/>
        </w:rPr>
        <w:t xml:space="preserve">Results and Analysis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000"/>
        <w:gridCol w:w="3160"/>
      </w:tblGrid>
      <w:tr>
        <w:trPr>
          <w:tblHeader/>
        </w:trP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Month</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Monthly Rev (avg)</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Temp North (°C)</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Temp South (°C)</w:t>
            </w:r>
          </w:p>
        </w:tc>
        <w:tc>
          <w:tcPr>
            <w:tcW w:type="dxa" w:w="3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Pattern</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Jan–Mar</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7.5 B</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12–18°C</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27–29°C</w:t>
            </w:r>
          </w:p>
        </w:tc>
        <w:tc>
          <w:tcPr>
            <w:tcW w:type="dxa" w:w="31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Cold North reduces beer; Mi an lien peaks</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Apr–Jun</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8.6 B</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22–28°C</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28–31°C</w:t>
            </w:r>
          </w:p>
        </w:tc>
        <w:tc>
          <w:tcPr>
            <w:tcW w:type="dxa" w:w="31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Warming drives soft drink growth</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Jul–Aug</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9.0 B</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28–32°C</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27–30°C</w:t>
            </w:r>
          </w:p>
        </w:tc>
        <w:tc>
          <w:tcPr>
            <w:tcW w:type="dxa" w:w="31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Heat peak — Beer and beverages peak</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Sep–Oct</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8.7 B</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24–28°C</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27–29°C</w:t>
            </w:r>
          </w:p>
        </w:tc>
        <w:tc>
          <w:tcPr>
            <w:tcW w:type="dxa" w:w="31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Autumn — food gifting, diverse categories</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Nov–Dec</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7.3 B</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15–22°C</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26–28°C</w:t>
            </w:r>
          </w:p>
        </w:tc>
        <w:tc>
          <w:tcPr>
            <w:tcW w:type="dxa" w:w="31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Cooling — Mi an lien returns, Beer declines</w:t>
            </w:r>
          </w:p>
        </w:tc>
      </w:tr>
    </w:tbl>
    <w:p>
      <w:pPr>
        <w:spacing w:after="0" w:before="80"/>
      </w:pPr>
    </w:p>
    <w:p>
      <w:pPr>
        <w:spacing w:after="100" w:before="100" w:line="300"/>
        <w:ind w:left="480"/>
      </w:pPr>
      <w:r>
        <w:rPr>
          <w:rFonts w:ascii="Times New Roman" w:cs="Times New Roman" w:eastAsia="Times New Roman" w:hAnsi="Times New Roman"/>
          <w:b/>
          <w:bCs/>
          <w:color w:val="000000"/>
          <w:sz w:val="24"/>
          <w:szCs w:val="24"/>
        </w:rPr>
        <w:t xml:space="preserve">Temperature-Demand Correlation Confirmed: </w:t>
      </w:r>
      <w:r>
        <w:rPr>
          <w:rFonts w:ascii="Times New Roman" w:cs="Times New Roman" w:eastAsia="Times New Roman" w:hAnsi="Times New Roman"/>
          <w:color w:val="000000"/>
          <w:sz w:val="24"/>
          <w:szCs w:val="24"/>
        </w:rPr>
        <w:t xml:space="preserve">The weather chart reveals a clear positive correlation between temperature and Beer/Soft Drink revenue, and an inverse relationship between temperature and Instant Noodle revenue. Northern Vietnam's temperature range (12°C in winter to 38°C in summer) creates significantly larger seasonal demand swings than the South (25–35°C year-round). Regional inventory planning should therefore apply different seasonal adjustment factors for North versus South branches.</w:t>
      </w:r>
    </w:p>
    <w:p>
      <w:r>
        <w:br w:type="page"/>
      </w:r>
    </w:p>
    <w:p>
      <w:pPr>
        <w:pStyle w:val="Heading2"/>
        <w:spacing w:after="120" w:before="280"/>
      </w:pPr>
      <w:r>
        <w:rPr>
          <w:rFonts w:ascii="Times New Roman" w:cs="Times New Roman" w:eastAsia="Times New Roman" w:hAnsi="Times New Roman"/>
          <w:b/>
          <w:bCs/>
          <w:color w:val="000000"/>
          <w:sz w:val="28"/>
          <w:szCs w:val="28"/>
        </w:rPr>
        <w:t xml:space="preserve">5.5 Dashboard 5 — Customer Segment Analysis</w:t>
      </w:r>
    </w:p>
    <w:p>
      <w:pPr>
        <w:spacing w:after="80" w:before="60" w:line="300"/>
      </w:pPr>
      <w:r>
        <w:rPr>
          <w:rFonts w:ascii="Times New Roman" w:cs="Times New Roman" w:eastAsia="Times New Roman" w:hAnsi="Times New Roman"/>
          <w:color w:val="000000"/>
          <w:sz w:val="24"/>
          <w:szCs w:val="24"/>
        </w:rPr>
        <w:t xml:space="preserve">Purpose: Enable CRM teams and key account managers to understand revenue contribution, growth trajectory, marketing efficiency, and channel preferences of each customer segment. Dashboard 5 contains 4 KPI cards and 6 analytical charts.</w:t>
      </w:r>
    </w:p>
    <w:p>
      <w:pPr>
        <w:pStyle w:val="Heading3"/>
        <w:spacing w:after="80" w:before="200"/>
      </w:pPr>
      <w:r>
        <w:rPr>
          <w:rFonts w:ascii="Times New Roman" w:cs="Times New Roman" w:eastAsia="Times New Roman" w:hAnsi="Times New Roman"/>
          <w:b/>
          <w:bCs/>
          <w:color w:val="000000"/>
          <w:sz w:val="24"/>
          <w:szCs w:val="24"/>
        </w:rPr>
        <w:t xml:space="preserve">5.5.1  Chart H15 — Revenue and Margin by Segment</w:t>
      </w:r>
    </w:p>
    <w:p>
      <w:pPr>
        <w:pStyle w:val="Heading3"/>
        <w:spacing w:after="80" w:before="200"/>
      </w:pPr>
      <w:r>
        <w:rPr>
          <w:rFonts w:ascii="Times New Roman" w:cs="Times New Roman" w:eastAsia="Times New Roman" w:hAnsi="Times New Roman"/>
          <w:b/>
          <w:bCs/>
          <w:color w:val="000000"/>
          <w:sz w:val="24"/>
          <w:szCs w:val="24"/>
        </w:rPr>
        <w:t xml:space="preserve">Chart Description</w:t>
      </w:r>
    </w:p>
    <w:p>
      <w:pPr>
        <w:spacing w:after="80" w:before="60" w:line="300"/>
      </w:pPr>
      <w:r>
        <w:rPr>
          <w:rFonts w:ascii="Times New Roman" w:cs="Times New Roman" w:eastAsia="Times New Roman" w:hAnsi="Times New Roman"/>
          <w:color w:val="000000"/>
          <w:sz w:val="24"/>
          <w:szCs w:val="24"/>
        </w:rPr>
        <w:t xml:space="preserve">H15 is a combined chart displaying total revenue and average profit margin for each of the 4 customer segments. This provides a direct revenue-to-margin comparison at the segment level, identifying which segments deliver the best combination of volume and profitability.</w:t>
      </w:r>
    </w:p>
    <w:p>
      <w:pPr>
        <w:pStyle w:val="Heading3"/>
        <w:spacing w:after="80" w:before="200"/>
      </w:pPr>
      <w:r>
        <w:rPr>
          <w:rFonts w:ascii="Times New Roman" w:cs="Times New Roman" w:eastAsia="Times New Roman" w:hAnsi="Times New Roman"/>
          <w:b/>
          <w:bCs/>
          <w:color w:val="000000"/>
          <w:sz w:val="24"/>
          <w:szCs w:val="24"/>
        </w:rPr>
        <w:t xml:space="preserve">Results and Analysis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1200"/>
        <w:gridCol w:w="1600"/>
        <w:gridCol w:w="2360"/>
      </w:tblGrid>
      <w:tr>
        <w:trPr>
          <w:tblHeader/>
        </w:trP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Segment</w:t>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Revenue (B)</w:t>
            </w:r>
          </w:p>
        </w:tc>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Share</w:t>
            </w:r>
          </w:p>
        </w:tc>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Orders</w:t>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Avg Margin</w:t>
            </w:r>
          </w:p>
        </w:tc>
        <w:tc>
          <w:tcPr>
            <w:tcW w:type="dxa" w:w="2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Revenue/Order</w:t>
            </w:r>
          </w:p>
        </w:tc>
      </w:tr>
      <w:tr>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Kenh hien dai (Modern Trade)</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26.6 B</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26.8%</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3,782</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24.5%</w:t>
            </w:r>
          </w:p>
        </w:tc>
        <w:tc>
          <w:tcPr>
            <w:tcW w:type="dxa" w:w="23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7.0M VND</w:t>
            </w:r>
          </w:p>
        </w:tc>
      </w:tr>
      <w:tr>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Nha phan phoi (Distributor)</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26.4 B</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26.6%</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3,771</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22.7%</w:t>
            </w:r>
          </w:p>
        </w:tc>
        <w:tc>
          <w:tcPr>
            <w:tcW w:type="dxa" w:w="23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7.0M VND</w:t>
            </w:r>
          </w:p>
        </w:tc>
      </w:tr>
      <w:tr>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Ban le (Retail)</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23.9 B</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24.2%</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3,727</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24.1%</w:t>
            </w:r>
          </w:p>
        </w:tc>
        <w:tc>
          <w:tcPr>
            <w:tcW w:type="dxa" w:w="23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6.4M VND</w:t>
            </w:r>
          </w:p>
        </w:tc>
      </w:tr>
      <w:tr>
        <w:tc>
          <w:tcPr>
            <w:tcW w:type="dxa" w:w="2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Thuong mai dien tu (E-commerce)</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22.1 B</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22.4%</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3,701</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23.7%</w:t>
            </w:r>
          </w:p>
        </w:tc>
        <w:tc>
          <w:tcPr>
            <w:tcW w:type="dxa" w:w="23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6.0M VND</w:t>
            </w:r>
          </w:p>
        </w:tc>
      </w:tr>
    </w:tbl>
    <w:p>
      <w:pPr>
        <w:spacing w:after="0" w:before="80"/>
      </w:pPr>
    </w:p>
    <w:p>
      <w:pPr>
        <w:spacing w:after="100" w:before="100" w:line="300"/>
        <w:ind w:left="480"/>
      </w:pPr>
      <w:r>
        <w:rPr>
          <w:rFonts w:ascii="Times New Roman" w:cs="Times New Roman" w:eastAsia="Times New Roman" w:hAnsi="Times New Roman"/>
          <w:b/>
          <w:bCs/>
          <w:color w:val="000000"/>
          <w:sz w:val="24"/>
          <w:szCs w:val="24"/>
        </w:rPr>
        <w:t xml:space="preserve">Segment Balance: A Healthy Diversified Mix: </w:t>
      </w:r>
      <w:r>
        <w:rPr>
          <w:rFonts w:ascii="Times New Roman" w:cs="Times New Roman" w:eastAsia="Times New Roman" w:hAnsi="Times New Roman"/>
          <w:color w:val="000000"/>
          <w:sz w:val="24"/>
          <w:szCs w:val="24"/>
        </w:rPr>
        <w:t xml:space="preserve">Unlike the category distribution (where Mi an lien dominates at 36.9%), the customer segment distribution is remarkably balanced: the gap between the largest (Modern Trade 26.8%) and smallest (E-commerce 22.4%) is only 4.4 percentage points. This diversification reduces dependency risk. However, Modern Trade commands the highest margin (24.5%) — making it the priority segment for growth, while Distributor margin (22.7%) should be the focus for profitability improvement.</w:t>
      </w:r>
    </w:p>
    <w:p>
      <w:pPr>
        <w:pStyle w:val="Heading3"/>
        <w:spacing w:after="80" w:before="200"/>
      </w:pPr>
      <w:r>
        <w:rPr>
          <w:rFonts w:ascii="Times New Roman" w:cs="Times New Roman" w:eastAsia="Times New Roman" w:hAnsi="Times New Roman"/>
          <w:b/>
          <w:bCs/>
          <w:color w:val="000000"/>
          <w:sz w:val="24"/>
          <w:szCs w:val="24"/>
        </w:rPr>
        <w:t xml:space="preserve">5.5.2  Chart H16 — Revenue Trend by Segment (Line Chart)</w:t>
      </w:r>
    </w:p>
    <w:p>
      <w:pPr>
        <w:pStyle w:val="Heading3"/>
        <w:spacing w:after="80" w:before="200"/>
      </w:pPr>
      <w:r>
        <w:rPr>
          <w:rFonts w:ascii="Times New Roman" w:cs="Times New Roman" w:eastAsia="Times New Roman" w:hAnsi="Times New Roman"/>
          <w:b/>
          <w:bCs/>
          <w:color w:val="000000"/>
          <w:sz w:val="24"/>
          <w:szCs w:val="24"/>
        </w:rPr>
        <w:t xml:space="preserve">Chart Description</w:t>
      </w:r>
    </w:p>
    <w:p>
      <w:pPr>
        <w:spacing w:after="80" w:before="60" w:line="300"/>
      </w:pPr>
      <w:r>
        <w:rPr>
          <w:rFonts w:ascii="Times New Roman" w:cs="Times New Roman" w:eastAsia="Times New Roman" w:hAnsi="Times New Roman"/>
          <w:color w:val="000000"/>
          <w:sz w:val="24"/>
          <w:szCs w:val="24"/>
        </w:rPr>
        <w:t xml:space="preserve">H16 is a multi-line chart showing annual revenue by customer segment from 2021 to 2025. Each segment is a distinct color line, enabling direct year-over-year comparison of segment growth rates and relative performance shifts.</w:t>
      </w:r>
    </w:p>
    <w:p>
      <w:pPr>
        <w:pStyle w:val="Heading3"/>
        <w:spacing w:after="80" w:before="200"/>
      </w:pPr>
      <w:r>
        <w:rPr>
          <w:rFonts w:ascii="Times New Roman" w:cs="Times New Roman" w:eastAsia="Times New Roman" w:hAnsi="Times New Roman"/>
          <w:b/>
          <w:bCs/>
          <w:color w:val="000000"/>
          <w:sz w:val="24"/>
          <w:szCs w:val="24"/>
        </w:rPr>
        <w:t xml:space="preserve">Results and Analysis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1800"/>
        <w:gridCol w:w="1600"/>
        <w:gridCol w:w="1800"/>
        <w:gridCol w:w="1260"/>
      </w:tblGrid>
      <w:tr>
        <w:trPr>
          <w:tblHeader/>
        </w:trPr>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Year</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Modern Trade</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Distributor</w:t>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Retail</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E-commerce</w:t>
            </w:r>
          </w:p>
        </w:tc>
        <w:tc>
          <w:tcPr>
            <w:tcW w:type="dxa" w:w="12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E-com Growth</w:t>
            </w:r>
          </w:p>
        </w:tc>
      </w:tr>
      <w:tr>
        <w:tc>
          <w:tcPr>
            <w:tcW w:type="dxa" w:w="11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2021</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4.3 B</w:t>
            </w:r>
          </w:p>
        </w:tc>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4.1 B</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3.2 B</w:t>
            </w:r>
          </w:p>
        </w:tc>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3.3 B</w:t>
            </w:r>
          </w:p>
        </w:tc>
        <w:tc>
          <w:tcPr>
            <w:tcW w:type="dxa" w:w="12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w:t>
            </w:r>
          </w:p>
        </w:tc>
      </w:tr>
      <w:tr>
        <w:tc>
          <w:tcPr>
            <w:tcW w:type="dxa" w:w="11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2022</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6.6 B</w:t>
            </w:r>
          </w:p>
        </w:tc>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4.5 B</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5.1 B</w:t>
            </w:r>
          </w:p>
        </w:tc>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4.8 B</w:t>
            </w:r>
          </w:p>
        </w:tc>
        <w:tc>
          <w:tcPr>
            <w:tcW w:type="dxa" w:w="12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+45.5%</w:t>
            </w:r>
          </w:p>
        </w:tc>
      </w:tr>
      <w:tr>
        <w:tc>
          <w:tcPr>
            <w:tcW w:type="dxa" w:w="11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2023</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5.3 B</w:t>
            </w:r>
          </w:p>
        </w:tc>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5.8 B</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4.5 B</w:t>
            </w:r>
          </w:p>
        </w:tc>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4.5 B</w:t>
            </w:r>
          </w:p>
        </w:tc>
        <w:tc>
          <w:tcPr>
            <w:tcW w:type="dxa" w:w="12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-6.3%</w:t>
            </w:r>
          </w:p>
        </w:tc>
      </w:tr>
      <w:tr>
        <w:tc>
          <w:tcPr>
            <w:tcW w:type="dxa" w:w="11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2024</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5.0 B</w:t>
            </w:r>
          </w:p>
        </w:tc>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5.8 B</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5.9 B</w:t>
            </w:r>
          </w:p>
        </w:tc>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4.7 B</w:t>
            </w:r>
          </w:p>
        </w:tc>
        <w:tc>
          <w:tcPr>
            <w:tcW w:type="dxa" w:w="12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+4.4%</w:t>
            </w:r>
          </w:p>
        </w:tc>
      </w:tr>
      <w:tr>
        <w:tc>
          <w:tcPr>
            <w:tcW w:type="dxa" w:w="11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2025</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5.3 B</w:t>
            </w:r>
          </w:p>
        </w:tc>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6.2 B</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5.2 B</w:t>
            </w:r>
          </w:p>
        </w:tc>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5.0 B</w:t>
            </w:r>
          </w:p>
        </w:tc>
        <w:tc>
          <w:tcPr>
            <w:tcW w:type="dxa" w:w="12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+6.4%</w:t>
            </w:r>
          </w:p>
        </w:tc>
      </w:tr>
    </w:tbl>
    <w:p>
      <w:pPr>
        <w:spacing w:after="0" w:before="80"/>
      </w:pPr>
    </w:p>
    <w:p>
      <w:pPr>
        <w:spacing w:after="100" w:before="100" w:line="300"/>
        <w:ind w:left="480"/>
      </w:pPr>
      <w:r>
        <w:rPr>
          <w:rFonts w:ascii="Times New Roman" w:cs="Times New Roman" w:eastAsia="Times New Roman" w:hAnsi="Times New Roman"/>
          <w:b/>
          <w:bCs/>
          <w:color w:val="000000"/>
          <w:sz w:val="24"/>
          <w:szCs w:val="24"/>
        </w:rPr>
        <w:t xml:space="preserve">Distributor Channel Structural Growth: </w:t>
      </w:r>
      <w:r>
        <w:rPr>
          <w:rFonts w:ascii="Times New Roman" w:cs="Times New Roman" w:eastAsia="Times New Roman" w:hAnsi="Times New Roman"/>
          <w:color w:val="000000"/>
          <w:sz w:val="24"/>
          <w:szCs w:val="24"/>
        </w:rPr>
        <w:t xml:space="preserve">The Distributor segment shows the most consistent growth trajectory: revenue increased from 4.1B in 2021 to 6.2B in 2025 (+51.2% total, +0.525B/year average). Notably, Distributor was the only segment to grow in 2023 (the contraction year for all other segments), reaching 5.8B vs. 4.5B in 2022. This resilience indicates distributors serve as a buffer during market downturns, absorbing inventory from weaker direct channels. The Distributor segment merits priority attention for key account development.</w:t>
      </w:r>
    </w:p>
    <w:p>
      <w:pPr>
        <w:pStyle w:val="Heading3"/>
        <w:spacing w:after="80" w:before="200"/>
      </w:pPr>
      <w:r>
        <w:rPr>
          <w:rFonts w:ascii="Times New Roman" w:cs="Times New Roman" w:eastAsia="Times New Roman" w:hAnsi="Times New Roman"/>
          <w:b/>
          <w:bCs/>
          <w:color w:val="000000"/>
          <w:sz w:val="24"/>
          <w:szCs w:val="24"/>
        </w:rPr>
        <w:t xml:space="preserve">5.5.3  Chart H17 — Revenue Heatmap: Segment × Category</w:t>
      </w:r>
    </w:p>
    <w:p>
      <w:pPr>
        <w:pStyle w:val="Heading3"/>
        <w:spacing w:after="80" w:before="200"/>
      </w:pPr>
      <w:r>
        <w:rPr>
          <w:rFonts w:ascii="Times New Roman" w:cs="Times New Roman" w:eastAsia="Times New Roman" w:hAnsi="Times New Roman"/>
          <w:b/>
          <w:bCs/>
          <w:color w:val="000000"/>
          <w:sz w:val="24"/>
          <w:szCs w:val="24"/>
        </w:rPr>
        <w:t xml:space="preserve">Chart Description</w:t>
      </w:r>
    </w:p>
    <w:p>
      <w:pPr>
        <w:spacing w:after="80" w:before="60" w:line="300"/>
      </w:pPr>
      <w:r>
        <w:rPr>
          <w:rFonts w:ascii="Times New Roman" w:cs="Times New Roman" w:eastAsia="Times New Roman" w:hAnsi="Times New Roman"/>
          <w:color w:val="000000"/>
          <w:sz w:val="24"/>
          <w:szCs w:val="24"/>
        </w:rPr>
        <w:t xml:space="preserve">H17 is a heatmap using Tableau's Square mark type with a Green Sequential color encoding revenue intensity. Rows represent customer segments; columns represent product categories. This chart identifies which segments buy which categories disproportionately — revealing cross-sell opportunities and potential over-dependencies.</w:t>
      </w:r>
    </w:p>
    <w:p>
      <w:pPr>
        <w:pStyle w:val="Heading3"/>
        <w:spacing w:after="80" w:before="200"/>
      </w:pPr>
      <w:r>
        <w:rPr>
          <w:rFonts w:ascii="Times New Roman" w:cs="Times New Roman" w:eastAsia="Times New Roman" w:hAnsi="Times New Roman"/>
          <w:b/>
          <w:bCs/>
          <w:color w:val="000000"/>
          <w:sz w:val="24"/>
          <w:szCs w:val="24"/>
        </w:rPr>
        <w:t xml:space="preserve">Key Observations</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Mi an lien is the dominant category for all segments, but especially for the Distributor segment where it accounts for an outsized share — consistent with bulk distributor purchasing patterns.</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Beer (Bia) shows stronger concentration in the Modern Trade and Retail segments, where in-store display and cold chain access drive impulse purchases.</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E-commerce segment shows relatively even distribution across categories compared to other segments, suggesting online shoppers are more exploratory and less brand-loyal.</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Soft Drinks (Nuoc giai khat) are weakest across all segments in absolute revenue — supporting the case for active push campaigns to increase trial and repeat purchase.</w:t>
      </w:r>
    </w:p>
    <w:p>
      <w:pPr>
        <w:pStyle w:val="Heading3"/>
        <w:spacing w:after="80" w:before="200"/>
      </w:pPr>
      <w:r>
        <w:rPr>
          <w:rFonts w:ascii="Times New Roman" w:cs="Times New Roman" w:eastAsia="Times New Roman" w:hAnsi="Times New Roman"/>
          <w:b/>
          <w:bCs/>
          <w:color w:val="000000"/>
          <w:sz w:val="24"/>
          <w:szCs w:val="24"/>
        </w:rPr>
        <w:t xml:space="preserve">5.5.4  Chart H_SegChannel — Revenue by Segment × Channel (Stacked Bar)</w:t>
      </w:r>
    </w:p>
    <w:p>
      <w:pPr>
        <w:pStyle w:val="Heading3"/>
        <w:spacing w:after="80" w:before="200"/>
      </w:pPr>
      <w:r>
        <w:rPr>
          <w:rFonts w:ascii="Times New Roman" w:cs="Times New Roman" w:eastAsia="Times New Roman" w:hAnsi="Times New Roman"/>
          <w:b/>
          <w:bCs/>
          <w:color w:val="000000"/>
          <w:sz w:val="24"/>
          <w:szCs w:val="24"/>
        </w:rPr>
        <w:t xml:space="preserve">Chart Description</w:t>
      </w:r>
    </w:p>
    <w:p>
      <w:pPr>
        <w:spacing w:after="80" w:before="60" w:line="300"/>
      </w:pPr>
      <w:r>
        <w:rPr>
          <w:rFonts w:ascii="Times New Roman" w:cs="Times New Roman" w:eastAsia="Times New Roman" w:hAnsi="Times New Roman"/>
          <w:color w:val="000000"/>
          <w:sz w:val="24"/>
          <w:szCs w:val="24"/>
        </w:rPr>
        <w:t xml:space="preserve">H_SegChannel is a stacked bar chart with customer segments on the Y-axis and revenue on the X-axis, with each bar stacked by sales channel color. This reveals the channel mix within each segment — how different customer types prefer to purchase.</w:t>
      </w:r>
    </w:p>
    <w:p>
      <w:pPr>
        <w:pStyle w:val="Heading3"/>
        <w:spacing w:after="80" w:before="200"/>
      </w:pPr>
      <w:r>
        <w:rPr>
          <w:rFonts w:ascii="Times New Roman" w:cs="Times New Roman" w:eastAsia="Times New Roman" w:hAnsi="Times New Roman"/>
          <w:b/>
          <w:bCs/>
          <w:color w:val="000000"/>
          <w:sz w:val="24"/>
          <w:szCs w:val="24"/>
        </w:rPr>
        <w:t xml:space="preserve">Results and Analysis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1800"/>
        <w:gridCol w:w="1440"/>
        <w:gridCol w:w="1520"/>
      </w:tblGrid>
      <w:tr>
        <w:trPr>
          <w:tblHeader/>
        </w:trP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Segment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Top Channel</w:t>
            </w:r>
          </w:p>
        </w:tc>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2nd Channel</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3rd Channel</w:t>
            </w:r>
          </w:p>
        </w:tc>
        <w:tc>
          <w:tcPr>
            <w:tcW w:type="dxa" w:w="14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Digital %</w:t>
            </w:r>
          </w:p>
        </w:tc>
        <w:tc>
          <w:tcPr>
            <w:tcW w:type="dxa" w:w="15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Traditional %</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Modern Trade</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Trad. trade 6.9B</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Retail promo 5.1B</w:t>
            </w:r>
          </w:p>
        </w:tc>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Ecommerce 4.8B</w:t>
            </w:r>
          </w:p>
        </w:tc>
        <w:tc>
          <w:tcPr>
            <w:tcW w:type="dxa" w:w="144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~30%</w:t>
            </w:r>
          </w:p>
        </w:tc>
        <w:tc>
          <w:tcPr>
            <w:tcW w:type="dxa" w:w="152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~45%</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Distributor</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Trad. trade 6.6B</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Retail promo 6.1B</w:t>
            </w:r>
          </w:p>
        </w:tc>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Ecommerce 5.4B</w:t>
            </w:r>
          </w:p>
        </w:tc>
        <w:tc>
          <w:tcPr>
            <w:tcW w:type="dxa" w:w="144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~29%</w:t>
            </w:r>
          </w:p>
        </w:tc>
        <w:tc>
          <w:tcPr>
            <w:tcW w:type="dxa" w:w="152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~48%</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Retail</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Trad. trade 6.4B</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Retail promo 4.9B</w:t>
            </w:r>
          </w:p>
        </w:tc>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Ecommerce 3.9B</w:t>
            </w:r>
          </w:p>
        </w:tc>
        <w:tc>
          <w:tcPr>
            <w:tcW w:type="dxa" w:w="144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~29%</w:t>
            </w:r>
          </w:p>
        </w:tc>
        <w:tc>
          <w:tcPr>
            <w:tcW w:type="dxa" w:w="152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~45%</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E-commerce</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Trad. trade 5.4B</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Retail promo 5.2B</w:t>
            </w:r>
          </w:p>
        </w:tc>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Ecommerce 3.7B</w:t>
            </w:r>
          </w:p>
        </w:tc>
        <w:tc>
          <w:tcPr>
            <w:tcW w:type="dxa" w:w="144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~28%</w:t>
            </w:r>
          </w:p>
        </w:tc>
        <w:tc>
          <w:tcPr>
            <w:tcW w:type="dxa" w:w="152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~45%</w:t>
            </w:r>
          </w:p>
        </w:tc>
      </w:tr>
    </w:tbl>
    <w:p>
      <w:pPr>
        <w:spacing w:after="0" w:before="80"/>
      </w:pPr>
    </w:p>
    <w:p>
      <w:pPr>
        <w:spacing w:after="100" w:before="100" w:line="300"/>
        <w:ind w:left="480"/>
      </w:pPr>
      <w:r>
        <w:rPr>
          <w:rFonts w:ascii="Times New Roman" w:cs="Times New Roman" w:eastAsia="Times New Roman" w:hAnsi="Times New Roman"/>
          <w:b/>
          <w:bCs/>
          <w:color w:val="000000"/>
          <w:sz w:val="24"/>
          <w:szCs w:val="24"/>
        </w:rPr>
        <w:t xml:space="preserve">Counter-intuitive Finding: E-commerce Segment Buys Offline Too: </w:t>
      </w:r>
      <w:r>
        <w:rPr>
          <w:rFonts w:ascii="Times New Roman" w:cs="Times New Roman" w:eastAsia="Times New Roman" w:hAnsi="Times New Roman"/>
          <w:color w:val="000000"/>
          <w:sz w:val="24"/>
          <w:szCs w:val="24"/>
        </w:rPr>
        <w:t xml:space="preserve">The E-commerce customer segment — despite being defined by its channel — still generates its highest revenue through Traditional trade (5.4B) followed by Retail promotion (5.2B), with actual Ecommerce platform revenue at only 3.7B. This suggests the segment classification likely reflects the customer's business type (online retailer reselling VNRetail products) rather than the purchase channel used. All four segments show similar 28–30% digital channel mix, indicating no segment has yet made a decisive shift to fully digital procurement.</w:t>
      </w:r>
    </w:p>
    <w:p>
      <w:pPr>
        <w:pStyle w:val="Heading3"/>
        <w:spacing w:after="80" w:before="200"/>
      </w:pPr>
      <w:r>
        <w:rPr>
          <w:rFonts w:ascii="Times New Roman" w:cs="Times New Roman" w:eastAsia="Times New Roman" w:hAnsi="Times New Roman"/>
          <w:b/>
          <w:bCs/>
          <w:color w:val="000000"/>
          <w:sz w:val="24"/>
          <w:szCs w:val="24"/>
        </w:rPr>
        <w:t xml:space="preserve">5.5.5  Chart H_SegROI — Marketing ROI by Segment (Bar + Reference Line)</w:t>
      </w:r>
    </w:p>
    <w:p>
      <w:pPr>
        <w:pStyle w:val="Heading3"/>
        <w:spacing w:after="80" w:before="200"/>
      </w:pPr>
      <w:r>
        <w:rPr>
          <w:rFonts w:ascii="Times New Roman" w:cs="Times New Roman" w:eastAsia="Times New Roman" w:hAnsi="Times New Roman"/>
          <w:b/>
          <w:bCs/>
          <w:color w:val="000000"/>
          <w:sz w:val="24"/>
          <w:szCs w:val="24"/>
        </w:rPr>
        <w:t xml:space="preserve">Chart Description</w:t>
      </w:r>
    </w:p>
    <w:p>
      <w:pPr>
        <w:spacing w:after="80" w:before="60" w:line="300"/>
      </w:pPr>
      <w:r>
        <w:rPr>
          <w:rFonts w:ascii="Times New Roman" w:cs="Times New Roman" w:eastAsia="Times New Roman" w:hAnsi="Times New Roman"/>
          <w:color w:val="000000"/>
          <w:sz w:val="24"/>
          <w:szCs w:val="24"/>
        </w:rPr>
        <w:t xml:space="preserve">H_SegROI is a horizontal bar chart displaying average Marketing ROI (profit / marketing cost) by customer segment, with a vertical reference line showing the overall average. Bars are sorted descending. This chart directly answers: "Which customer segments deliver the highest return on marketing investment?"</w:t>
      </w:r>
    </w:p>
    <w:p>
      <w:pPr>
        <w:pStyle w:val="Heading3"/>
        <w:spacing w:after="80" w:before="200"/>
      </w:pPr>
      <w:r>
        <w:rPr>
          <w:rFonts w:ascii="Times New Roman" w:cs="Times New Roman" w:eastAsia="Times New Roman" w:hAnsi="Times New Roman"/>
          <w:b/>
          <w:bCs/>
          <w:color w:val="000000"/>
          <w:sz w:val="24"/>
          <w:szCs w:val="24"/>
        </w:rPr>
        <w:t xml:space="preserve">Results and Analysis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200"/>
        <w:gridCol w:w="1600"/>
        <w:gridCol w:w="3260"/>
      </w:tblGrid>
      <w:tr>
        <w:trPr>
          <w:tblHeader/>
        </w:trP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Rank</w:t>
            </w:r>
          </w:p>
        </w:tc>
        <w:tc>
          <w:tcPr>
            <w:tcW w:type="dxa" w:w="2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Segment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Avg Marketing ROI</w:t>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vs. Average</w:t>
            </w:r>
          </w:p>
        </w:tc>
        <w:tc>
          <w:tcPr>
            <w:tcW w:type="dxa" w:w="32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Interpretation</w:t>
            </w:r>
          </w:p>
        </w:tc>
      </w:tr>
      <w:tr>
        <w:tc>
          <w:tcPr>
            <w:tcW w:type="dxa" w:w="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1</w:t>
            </w:r>
          </w:p>
        </w:tc>
        <w:tc>
          <w:tcPr>
            <w:tcW w:type="dxa" w:w="2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Ban le (Retail)</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1,109.5</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+2.8×</w:t>
            </w:r>
          </w:p>
        </w:tc>
        <w:tc>
          <w:tcPr>
            <w:tcW w:type="dxa" w:w="32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Retail customers generate highest ROI per marketing spend</w:t>
            </w:r>
          </w:p>
        </w:tc>
      </w:tr>
      <w:tr>
        <w:tc>
          <w:tcPr>
            <w:tcW w:type="dxa" w:w="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2</w:t>
            </w:r>
          </w:p>
        </w:tc>
        <w:tc>
          <w:tcPr>
            <w:tcW w:type="dxa" w:w="2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Thuong mai dien tu (E-commerce)</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780.4</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+1.9×</w:t>
            </w:r>
          </w:p>
        </w:tc>
        <w:tc>
          <w:tcPr>
            <w:tcW w:type="dxa" w:w="32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Digital native — efficient marketing response</w:t>
            </w:r>
          </w:p>
        </w:tc>
      </w:tr>
      <w:tr>
        <w:tc>
          <w:tcPr>
            <w:tcW w:type="dxa" w:w="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3</w:t>
            </w:r>
          </w:p>
        </w:tc>
        <w:tc>
          <w:tcPr>
            <w:tcW w:type="dxa" w:w="2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Nha phan phoi (Distributor)</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514.9</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Above avg</w:t>
            </w:r>
          </w:p>
        </w:tc>
        <w:tc>
          <w:tcPr>
            <w:tcW w:type="dxa" w:w="32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Bulk buyers — marketing investment scales well</w:t>
            </w:r>
          </w:p>
        </w:tc>
      </w:tr>
      <w:tr>
        <w:tc>
          <w:tcPr>
            <w:tcW w:type="dxa" w:w="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4</w:t>
            </w:r>
          </w:p>
        </w:tc>
        <w:tc>
          <w:tcPr>
            <w:tcW w:type="dxa" w:w="2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Kenh hien dai (Modern Trade)</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304.0</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Below avg</w:t>
            </w:r>
          </w:p>
        </w:tc>
        <w:tc>
          <w:tcPr>
            <w:tcW w:type="dxa" w:w="32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Highest cost-to-serve segment</w:t>
            </w:r>
          </w:p>
        </w:tc>
      </w:tr>
    </w:tbl>
    <w:p>
      <w:pPr>
        <w:spacing w:after="0" w:before="80"/>
      </w:pPr>
    </w:p>
    <w:p>
      <w:pPr>
        <w:spacing w:after="100" w:before="100" w:line="300"/>
        <w:ind w:left="480"/>
      </w:pPr>
      <w:r>
        <w:rPr>
          <w:rFonts w:ascii="Times New Roman" w:cs="Times New Roman" w:eastAsia="Times New Roman" w:hAnsi="Times New Roman"/>
          <w:b/>
          <w:bCs/>
          <w:color w:val="000000"/>
          <w:sz w:val="24"/>
          <w:szCs w:val="24"/>
        </w:rPr>
        <w:t xml:space="preserve">ROI Paradox: Best Margin Segment Yields Lowest Marketing ROI: </w:t>
      </w:r>
      <w:r>
        <w:rPr>
          <w:rFonts w:ascii="Times New Roman" w:cs="Times New Roman" w:eastAsia="Times New Roman" w:hAnsi="Times New Roman"/>
          <w:color w:val="000000"/>
          <w:sz w:val="24"/>
          <w:szCs w:val="24"/>
        </w:rPr>
        <w:t xml:space="preserve">Modern Trade has the highest profit margin (24.5%) but the lowest marketing ROI (304.0). This is because Modern Trade requires the highest marketing investment — trade promotions, display fees, key account management — which drives down the return per marketing dollar. Retail, by contrast, shows 1,109.5 ROI, nearly 3.7× higher than Modern Trade. A strategic budget reallocation — moving 10% of Modern Trade marketing spend to Retail — would significantly improve overall Marketing ROI without materially impacting revenue.</w:t>
      </w:r>
    </w:p>
    <w:p>
      <w:r>
        <w:br w:type="page"/>
      </w:r>
    </w:p>
    <w:p>
      <w:pPr>
        <w:pStyle w:val="Heading1"/>
        <w:spacing w:after="160" w:before="400"/>
      </w:pPr>
      <w:r>
        <w:rPr>
          <w:rFonts w:ascii="Times New Roman" w:cs="Times New Roman" w:eastAsia="Times New Roman" w:hAnsi="Times New Roman"/>
          <w:b/>
          <w:bCs/>
          <w:color w:val="000000"/>
          <w:sz w:val="32"/>
          <w:szCs w:val="32"/>
        </w:rPr>
        <w:t xml:space="preserve">CHAPTER 6: CONCLUSIONS AND STRATEGIC RECOMMENDATIONS</w:t>
      </w:r>
    </w:p>
    <w:p>
      <w:pPr>
        <w:pStyle w:val="Heading2"/>
        <w:spacing w:after="120" w:before="280"/>
      </w:pPr>
      <w:r>
        <w:rPr>
          <w:rFonts w:ascii="Times New Roman" w:cs="Times New Roman" w:eastAsia="Times New Roman" w:hAnsi="Times New Roman"/>
          <w:b/>
          <w:bCs/>
          <w:color w:val="000000"/>
          <w:sz w:val="28"/>
          <w:szCs w:val="28"/>
        </w:rPr>
        <w:t xml:space="preserve">6.1 Summary of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tblHeader/>
        </w:trP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Finding</w:t>
            </w:r>
          </w:p>
        </w:tc>
        <w:tc>
          <w:tcPr>
            <w:tcW w:type="dxa" w:w="3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Evidence</w:t>
            </w:r>
          </w:p>
        </w:tc>
        <w:tc>
          <w:tcPr>
            <w:tcW w:type="dxa" w:w="2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Urgency</w:t>
            </w:r>
          </w:p>
        </w:tc>
      </w:tr>
      <w:tr>
        <w:tc>
          <w:tcPr>
            <w:tcW w:type="dxa" w:w="3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Margin compression despite revenue growth</w:t>
            </w:r>
          </w:p>
        </w:tc>
        <w:tc>
          <w:tcPr>
            <w:tcW w:type="dxa" w:w="3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Margin fell 25.3% → 22.7% while revenue grew +46.5%</w:t>
            </w:r>
          </w:p>
        </w:tc>
        <w:tc>
          <w:tcPr>
            <w:tcW w:type="dxa" w:w="29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HIGH</w:t>
            </w:r>
          </w:p>
        </w:tc>
      </w:tr>
      <w:tr>
        <w:tc>
          <w:tcPr>
            <w:tcW w:type="dxa" w:w="3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Mi Omachi near-breakeven</w:t>
            </w:r>
          </w:p>
        </w:tc>
        <w:tc>
          <w:tcPr>
            <w:tcW w:type="dxa" w:w="3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3.1% margin on 10.2B revenue product</w:t>
            </w:r>
          </w:p>
        </w:tc>
        <w:tc>
          <w:tcPr>
            <w:tcW w:type="dxa" w:w="29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CRITICAL</w:t>
            </w:r>
          </w:p>
        </w:tc>
      </w:tr>
      <w:tr>
        <w:tc>
          <w:tcPr>
            <w:tcW w:type="dxa" w:w="3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Raw material cost escalation</w:t>
            </w:r>
          </w:p>
        </w:tc>
        <w:tc>
          <w:tcPr>
            <w:tcW w:type="dxa" w:w="3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RM cost share rose 36.3% → 37.4% of revenue</w:t>
            </w:r>
          </w:p>
        </w:tc>
        <w:tc>
          <w:tcPr>
            <w:tcW w:type="dxa" w:w="29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HIGH</w:t>
            </w:r>
          </w:p>
        </w:tc>
      </w:tr>
      <w:tr>
        <w:tc>
          <w:tcPr>
            <w:tcW w:type="dxa" w:w="3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Central region underdeveloped</w:t>
            </w:r>
          </w:p>
        </w:tc>
        <w:tc>
          <w:tcPr>
            <w:tcW w:type="dxa" w:w="3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21.7% revenue with highest margins (24.4% avg)</w:t>
            </w:r>
          </w:p>
        </w:tc>
        <w:tc>
          <w:tcPr>
            <w:tcW w:type="dxa" w:w="29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MEDIUM</w:t>
            </w:r>
          </w:p>
        </w:tc>
      </w:tr>
      <w:tr>
        <w:tc>
          <w:tcPr>
            <w:tcW w:type="dxa" w:w="3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Question Mark products with 40–48% margin</w:t>
            </w:r>
          </w:p>
        </w:tc>
        <w:tc>
          <w:tcPr>
            <w:tcW w:type="dxa" w:w="3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14 products with high margin but low distribution</w:t>
            </w:r>
          </w:p>
        </w:tc>
        <w:tc>
          <w:tcPr>
            <w:tcW w:type="dxa" w:w="29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MEDIUM</w:t>
            </w:r>
          </w:p>
        </w:tc>
      </w:tr>
      <w:tr>
        <w:tc>
          <w:tcPr>
            <w:tcW w:type="dxa" w:w="3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E-commerce parity with offline margins</w:t>
            </w:r>
          </w:p>
        </w:tc>
        <w:tc>
          <w:tcPr>
            <w:tcW w:type="dxa" w:w="3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Online margin matches traditional trade at 24.5%</w:t>
            </w:r>
          </w:p>
        </w:tc>
        <w:tc>
          <w:tcPr>
            <w:tcW w:type="dxa" w:w="29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OPPORTUNITY</w:t>
            </w:r>
          </w:p>
        </w:tc>
      </w:tr>
      <w:tr>
        <w:tc>
          <w:tcPr>
            <w:tcW w:type="dxa" w:w="3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Retail segment's marketing ROI 3.7× higher than Modern Trade</w:t>
            </w:r>
          </w:p>
        </w:tc>
        <w:tc>
          <w:tcPr>
            <w:tcW w:type="dxa" w:w="3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ROI 1,109 vs. 304</w:t>
            </w:r>
          </w:p>
        </w:tc>
        <w:tc>
          <w:tcPr>
            <w:tcW w:type="dxa" w:w="29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OPPORTUNITY</w:t>
            </w:r>
          </w:p>
        </w:tc>
      </w:tr>
      <w:tr>
        <w:tc>
          <w:tcPr>
            <w:tcW w:type="dxa" w:w="3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May demand spike (50% above February)</w:t>
            </w:r>
          </w:p>
        </w:tc>
        <w:tc>
          <w:tcPr>
            <w:tcW w:type="dxa" w:w="3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Driven by Mi an lien stockpiling</w:t>
            </w:r>
          </w:p>
        </w:tc>
        <w:tc>
          <w:tcPr>
            <w:tcW w:type="dxa" w:w="29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PLANNING</w:t>
            </w:r>
          </w:p>
        </w:tc>
      </w:tr>
    </w:tbl>
    <w:p>
      <w:pPr>
        <w:pStyle w:val="Heading2"/>
        <w:spacing w:after="120" w:before="280"/>
      </w:pPr>
      <w:r>
        <w:rPr>
          <w:rFonts w:ascii="Times New Roman" w:cs="Times New Roman" w:eastAsia="Times New Roman" w:hAnsi="Times New Roman"/>
          <w:b/>
          <w:bCs/>
          <w:color w:val="000000"/>
          <w:sz w:val="28"/>
          <w:szCs w:val="28"/>
        </w:rPr>
        <w:t xml:space="preserve">6.2 Strategic Recommendations</w:t>
      </w:r>
    </w:p>
    <w:p>
      <w:pPr>
        <w:pStyle w:val="Heading3"/>
        <w:spacing w:after="80" w:before="200"/>
      </w:pPr>
      <w:r>
        <w:rPr>
          <w:rFonts w:ascii="Times New Roman" w:cs="Times New Roman" w:eastAsia="Times New Roman" w:hAnsi="Times New Roman"/>
          <w:b/>
          <w:bCs/>
          <w:color w:val="000000"/>
          <w:sz w:val="24"/>
          <w:szCs w:val="24"/>
        </w:rPr>
        <w:t xml:space="preserve">Short-Term (0–6 months)</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CRITICAL: Initiate an immediate cost review for Mi Omachi. At 3.1% margin, this 10.2B product is one supply shock away from a loss position. Options: price increase, ingredient substitution, or volume reduction to focus on higher-margin Mì ăn liền variants.</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Seasonal inventory pre-positioning: Place Mi an lien orders 6 weeks before May to avoid stock-outs during the peak month. Place Beer orders 4 weeks before July.</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Reallocate 10–15% of Modern Trade marketing budget to Retail and E-commerce channels based on 3.7× superior ROI.</w:t>
      </w:r>
    </w:p>
    <w:p>
      <w:pPr>
        <w:pStyle w:val="Heading3"/>
        <w:spacing w:after="80" w:before="200"/>
      </w:pPr>
      <w:r>
        <w:rPr>
          <w:rFonts w:ascii="Times New Roman" w:cs="Times New Roman" w:eastAsia="Times New Roman" w:hAnsi="Times New Roman"/>
          <w:b/>
          <w:bCs/>
          <w:color w:val="000000"/>
          <w:sz w:val="24"/>
          <w:szCs w:val="24"/>
        </w:rPr>
        <w:t xml:space="preserve">Medium-Term (6–18 months)</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Invest in Central region expansion: Open or expand the Da Nang branch, which currently generates only 4.3B vs. Ha Noi's 13.5B — despite comparable demographics. Target Da Nang to reach 7–8B within 18 months.</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Accelerate Question Mark development: Prioritize Nuoc khoang Vinh Hao (48.3% margin), Wake-up 247 (44.2% margin), and Nuoc tang luc Compact (36.0% margin) with dedicated distribution pushes and targeted digital campaigns.</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Beer category investment: Three Beer products already in Top 10; Bia category margin (30.5%) is 2.1× that of Mi an lien. Expanding Beer SKUs and distribution — especially in Northern and Central regions — should be a portfolio priority.</w:t>
      </w:r>
    </w:p>
    <w:p>
      <w:pPr>
        <w:pStyle w:val="Heading3"/>
        <w:spacing w:after="80" w:before="200"/>
      </w:pPr>
      <w:r>
        <w:rPr>
          <w:rFonts w:ascii="Times New Roman" w:cs="Times New Roman" w:eastAsia="Times New Roman" w:hAnsi="Times New Roman"/>
          <w:b/>
          <w:bCs/>
          <w:color w:val="000000"/>
          <w:sz w:val="24"/>
          <w:szCs w:val="24"/>
        </w:rPr>
        <w:t xml:space="preserve">Long-Term (18+ months)</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Category rebalancing: Reduce dependency on Mi an lien from 36.9% to below 30% of revenue over 3 years, replacing volume with higher-margin Beer, Soft Drinks, and Snack categories.</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Full e-commerce channel migration: Given proven margin parity (24.5% online = offline), build a direct-to-consumer e-commerce capability to reduce trade channel dependency and improve marketing measurement.</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Weather-responsive supply chain: Implement automated demand forecasting models that incorporate weather data (already in the data warehouse) to predict regional demand 30–60 days in advance.</w:t>
      </w:r>
    </w:p>
    <w:p>
      <w:pPr>
        <w:pStyle w:val="Heading2"/>
        <w:spacing w:after="120" w:before="280"/>
      </w:pPr>
      <w:r>
        <w:rPr>
          <w:rFonts w:ascii="Times New Roman" w:cs="Times New Roman" w:eastAsia="Times New Roman" w:hAnsi="Times New Roman"/>
          <w:b/>
          <w:bCs/>
          <w:color w:val="000000"/>
          <w:sz w:val="28"/>
          <w:szCs w:val="28"/>
        </w:rPr>
        <w:t xml:space="preserve">6.3 Technical Recommendations</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Add real-time data ingestion: Replace monthly Excel uploads with an API connection to the ERP system, reducing data latency from monthly to daily.</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Implement data quality scoring: Extend the current validation system to generate a monthly Data Quality Score — tracking trends in null rates, format violations, and duplicate rates over time.</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Tableau Server deployment: Migrate from Tableau Desktop to Tableau Server for scheduled data refresh and role-based access control, enabling branch managers to access their branch's dashboard without requiring Tableau Desktop licenses.</w:t>
      </w:r>
    </w:p>
    <w:p>
      <w:pPr>
        <w:pStyle w:val="ListParagraph"/>
        <w:numPr>
          <w:ilvl w:val="0"/>
          <w:numId w:val="2"/>
        </w:numPr>
        <w:spacing w:after="40" w:before="40" w:line="280"/>
        <w:ind w:left="720" w:hanging="360"/>
      </w:pPr>
      <w:r>
        <w:rPr>
          <w:rFonts w:ascii="Times New Roman" w:cs="Times New Roman" w:eastAsia="Times New Roman" w:hAnsi="Times New Roman"/>
          <w:color w:val="000000"/>
          <w:sz w:val="24"/>
          <w:szCs w:val="24"/>
        </w:rPr>
        <w:t xml:space="preserve">Add predictive analytics: Integrate Python-based forecasting (Prophet or ARIMA) into the pipeline to generate 3-month revenue forecasts by category and region, surfaced directly in Dashboard 1.</w:t>
      </w:r>
    </w:p>
    <w:p>
      <w:pPr>
        <w:spacing w:after="0" w:before="160"/>
      </w:pPr>
    </w:p>
    <w:p>
      <w:pPr>
        <w:pBdr>
          <w:top w:val="single" w:color="000000" w:sz="6" w:space="4"/>
        </w:pBdr>
        <w:spacing w:after="200" w:before="0"/>
        <w:jc w:val="center"/>
      </w:pPr>
    </w:p>
    <w:p>
      <w:pPr>
        <w:spacing w:after="0" w:before="0"/>
        <w:jc w:val="center"/>
      </w:pPr>
      <w:r>
        <w:rPr>
          <w:rFonts w:ascii="Times New Roman" w:cs="Times New Roman" w:eastAsia="Times New Roman" w:hAnsi="Times New Roman"/>
          <w:i/>
          <w:iCs/>
          <w:color w:val="000000"/>
          <w:sz w:val="20"/>
          <w:szCs w:val="20"/>
        </w:rPr>
        <w:t xml:space="preserve">End of Report — VNRetail Business Intelligence Project | Academic Year 2025–2026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2026-06-15T18:05:14.864Z</dcterms:created>
  <dcterms:modified xsi:type="dcterms:W3CDTF">2026-06-15T18:05:14.865Z</dcterms:modified>
</cp:coreProperties>
</file>

<file path=docProps/custom.xml><?xml version="1.0" encoding="utf-8"?>
<Properties xmlns="http://schemas.openxmlformats.org/officeDocument/2006/custom-properties" xmlns:vt="http://schemas.openxmlformats.org/officeDocument/2006/docPropsVTypes"/>
</file>