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mgdyzjcxnsj" w:id="0"/>
      <w:bookmarkEnd w:id="0"/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3e8bqi5hbdo" w:id="1"/>
      <w:bookmarkEnd w:id="1"/>
      <w:r w:rsidDel="00000000" w:rsidR="00000000" w:rsidRPr="00000000">
        <w:rPr>
          <w:rtl w:val="0"/>
        </w:rPr>
        <w:t xml:space="preserve">Construisez le modèle physique.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N°Client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NomClient,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PrénomClient)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Commande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N°Commande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DateCommande,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MontantCommande,</w:t>
      </w:r>
      <w:r w:rsidDel="00000000" w:rsidR="00000000" w:rsidRPr="00000000">
        <w:rPr>
          <w:rtl w:val="0"/>
        </w:rPr>
        <w:t xml:space="preserve"> #N°Client)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SeComposeDe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#N°Commande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#N°Article</w:t>
      </w:r>
      <w:r w:rsidDel="00000000" w:rsidR="00000000" w:rsidRPr="00000000">
        <w:rPr>
          <w:rtl w:val="0"/>
        </w:rPr>
        <w:t xml:space="preserve">, Qte, </w:t>
      </w:r>
      <w:r w:rsidDel="00000000" w:rsidR="00000000" w:rsidRPr="00000000">
        <w:rPr>
          <w:rtl w:val="0"/>
        </w:rPr>
        <w:t xml:space="preserve">TauxTva)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Article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N°Article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DesignationArticle,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PUArticle)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b0m2nk1cosiw" w:id="2"/>
      <w:bookmarkEnd w:id="2"/>
      <w:r w:rsidDel="00000000" w:rsidR="00000000" w:rsidRPr="00000000">
        <w:rPr>
          <w:rtl w:val="0"/>
        </w:rPr>
        <w:t xml:space="preserve">Pour chaque association, expliquez la transformation du MCD en MPD.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Passe </w:t>
      </w:r>
      <w:r w:rsidDel="00000000" w:rsidR="00000000" w:rsidRPr="00000000">
        <w:rPr>
          <w:rtl w:val="0"/>
        </w:rPr>
        <w:t xml:space="preserve">: Une commande n'est passée que par un seul client, la clé primaire de la table Client (</w:t>
      </w:r>
      <w:r w:rsidDel="00000000" w:rsidR="00000000" w:rsidRPr="00000000">
        <w:rPr>
          <w:u w:val="single"/>
          <w:rtl w:val="0"/>
        </w:rPr>
        <w:t xml:space="preserve">N°Client</w:t>
      </w:r>
      <w:r w:rsidDel="00000000" w:rsidR="00000000" w:rsidRPr="00000000">
        <w:rPr>
          <w:rtl w:val="0"/>
        </w:rPr>
        <w:t xml:space="preserve">) est donc transmise à la table Commande.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SeComposeDe </w:t>
      </w:r>
      <w:r w:rsidDel="00000000" w:rsidR="00000000" w:rsidRPr="00000000">
        <w:rPr>
          <w:rtl w:val="0"/>
        </w:rPr>
        <w:t xml:space="preserve">: Une commande peut être composée de n articles, un article peut faire partie de n commandes et l'association est porteuse de donnée. </w:t>
      </w:r>
      <w:r w:rsidDel="00000000" w:rsidR="00000000" w:rsidRPr="00000000">
        <w:rPr>
          <w:rtl w:val="0"/>
        </w:rPr>
        <w:t xml:space="preserve">SeComposeDe</w:t>
      </w:r>
      <w:r w:rsidDel="00000000" w:rsidR="00000000" w:rsidRPr="00000000">
        <w:rPr>
          <w:rtl w:val="0"/>
        </w:rPr>
        <w:t xml:space="preserve"> va donc devenir une table prenant les clés primaires de Articles (N°Article) et Commandes (</w:t>
      </w:r>
      <w:r w:rsidDel="00000000" w:rsidR="00000000" w:rsidRPr="00000000">
        <w:rPr>
          <w:u w:val="single"/>
          <w:rtl w:val="0"/>
        </w:rPr>
        <w:t xml:space="preserve">N°Commande</w:t>
      </w:r>
      <w:r w:rsidDel="00000000" w:rsidR="00000000" w:rsidRPr="00000000">
        <w:rPr>
          <w:rtl w:val="0"/>
        </w:rPr>
        <w:t xml:space="preserve">) comme ses clés primaires.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crbpspswmpw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kqu4conl0sqc" w:id="4"/>
      <w:bookmarkEnd w:id="4"/>
      <w:r w:rsidDel="00000000" w:rsidR="00000000" w:rsidRPr="00000000">
        <w:rPr>
          <w:rtl w:val="0"/>
        </w:rPr>
        <w:t xml:space="preserve">Pour chaque table, expliquer (en justifiant) les champs qui servent de clés (primaires ou étrangères).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d068pfa7c197" w:id="5"/>
      <w:bookmarkEnd w:id="5"/>
      <w:r w:rsidDel="00000000" w:rsidR="00000000" w:rsidRPr="00000000">
        <w:rPr>
          <w:rtl w:val="0"/>
        </w:rPr>
        <w:t xml:space="preserve">Clés primaires.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Les clés primaires sont des</w:t>
      </w:r>
      <w:r w:rsidDel="00000000" w:rsidR="00000000" w:rsidRPr="00000000">
        <w:rPr>
          <w:b w:val="1"/>
          <w:rtl w:val="0"/>
        </w:rPr>
        <w:t xml:space="preserve"> identifiants uniques à chacune des entités/tables</w:t>
      </w:r>
      <w:r w:rsidDel="00000000" w:rsidR="00000000" w:rsidRPr="00000000">
        <w:rPr>
          <w:rtl w:val="0"/>
        </w:rPr>
        <w:t xml:space="preserve">, généralement représentées par un nombre auto-incrémenté. Dans notre modèle conceptuel de données, elles </w:t>
      </w:r>
      <w:r w:rsidDel="00000000" w:rsidR="00000000" w:rsidRPr="00000000">
        <w:rPr>
          <w:b w:val="1"/>
          <w:rtl w:val="0"/>
        </w:rPr>
        <w:t xml:space="preserve">se distinguent par leur soulignage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Dans le MCD ci-dessus, les clés primaires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/ Entité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Clé.s primaire.s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N°Client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N°Commande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N°Article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SeComposeDe*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N°Commande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u w:val="single"/>
                <w:rtl w:val="0"/>
              </w:rPr>
              <w:t xml:space="preserve">N°Article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*La table SeComposeDe est un cas particulier, elle demande deux clés primaires aussi considérées comme des clés secondaires pour joindre les deux tables juxtaposées.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riuyzx6ryqn7" w:id="6"/>
      <w:bookmarkEnd w:id="6"/>
      <w:r w:rsidDel="00000000" w:rsidR="00000000" w:rsidRPr="00000000">
        <w:rPr>
          <w:rtl w:val="0"/>
        </w:rPr>
        <w:t xml:space="preserve">Clés étrangères.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Les clés étrangères sont des clés partagées à certaines tables en fonction de leurs associations et de leurs cardinalités. Elles sont précédées de “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” dans le MPD.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 une association a </w:t>
      </w:r>
      <w:r w:rsidDel="00000000" w:rsidR="00000000" w:rsidRPr="00000000">
        <w:rPr>
          <w:b w:val="1"/>
          <w:rtl w:val="0"/>
        </w:rPr>
        <w:t xml:space="preserve">deux cardinalités avec n en maximum (0,n ou 1,n)</w:t>
      </w:r>
      <w:r w:rsidDel="00000000" w:rsidR="00000000" w:rsidRPr="00000000">
        <w:rPr>
          <w:rtl w:val="0"/>
        </w:rPr>
        <w:t xml:space="preserve"> alors l’association elle-même sera considérée comme une table composée des clés primaires des deux tables associées en tant que clé étrangères.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Autrement, si </w:t>
      </w:r>
      <w:r w:rsidDel="00000000" w:rsidR="00000000" w:rsidRPr="00000000">
        <w:rPr>
          <w:b w:val="1"/>
          <w:rtl w:val="0"/>
        </w:rPr>
        <w:t xml:space="preserve">une association a au moins une cardinalité avec 1 (0,1 ou 1,1) en maximum</w:t>
      </w:r>
      <w:r w:rsidDel="00000000" w:rsidR="00000000" w:rsidRPr="00000000">
        <w:rPr>
          <w:rtl w:val="0"/>
        </w:rPr>
        <w:t xml:space="preserve">, l’association disparaîtra au passage du MCD au MPD et la table/entité associée au 0,1 ou 1,1 recevra la clé principale de la seconde table en tant que clé étrangère.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Dans le MCD ci-dessus, une fois passé en MPD, les clés étrangères 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/ Entité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Clé.s primaire.s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Commande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#N°Client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SeComposeDe*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#N°Commande, #N°Article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before="60" w:lineRule="auto"/>
        <w:rPr/>
      </w:pPr>
      <w:bookmarkStart w:colFirst="0" w:colLast="0" w:name="_rks7g2zdh2qt" w:id="7"/>
      <w:bookmarkEnd w:id="7"/>
      <w:r w:rsidDel="00000000" w:rsidR="00000000" w:rsidRPr="00000000">
        <w:rPr>
          <w:rtl w:val="0"/>
        </w:rPr>
        <w:t xml:space="preserve">Générez le script de création de la base de données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Client(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N_Client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NomClient </w:t>
      </w:r>
      <w:r w:rsidDel="00000000" w:rsidR="00000000" w:rsidRPr="00000000">
        <w:rPr>
          <w:b w:val="1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(50),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PrénomClient </w:t>
      </w:r>
      <w:r w:rsidDel="00000000" w:rsidR="00000000" w:rsidRPr="00000000">
        <w:rPr>
          <w:b w:val="1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(50),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PRIMARY KEY</w:t>
      </w:r>
      <w:r w:rsidDel="00000000" w:rsidR="00000000" w:rsidRPr="00000000">
        <w:rPr>
          <w:rtl w:val="0"/>
        </w:rPr>
        <w:t xml:space="preserve">(N_Client)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Commande(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N_Commande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DateCommande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MontantCommande </w:t>
      </w:r>
      <w:r w:rsidDel="00000000" w:rsidR="00000000" w:rsidRPr="00000000">
        <w:rPr>
          <w:b w:val="1"/>
          <w:rtl w:val="0"/>
        </w:rPr>
        <w:t xml:space="preserve">DECIMAL</w:t>
      </w:r>
      <w:r w:rsidDel="00000000" w:rsidR="00000000" w:rsidRPr="00000000">
        <w:rPr>
          <w:rtl w:val="0"/>
        </w:rPr>
        <w:t xml:space="preserve">(6,2),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N_Client </w:t>
      </w:r>
      <w:r w:rsidDel="00000000" w:rsidR="00000000" w:rsidRPr="00000000">
        <w:rPr>
          <w:b w:val="1"/>
          <w:rtl w:val="0"/>
        </w:rPr>
        <w:t xml:space="preserve">INT NOT NULL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PRIMARY KEY</w:t>
      </w:r>
      <w:r w:rsidDel="00000000" w:rsidR="00000000" w:rsidRPr="00000000">
        <w:rPr>
          <w:rtl w:val="0"/>
        </w:rPr>
        <w:t xml:space="preserve">(N_Commande),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FOREIGN KEY</w:t>
      </w:r>
      <w:r w:rsidDel="00000000" w:rsidR="00000000" w:rsidRPr="00000000">
        <w:rPr>
          <w:rtl w:val="0"/>
        </w:rPr>
        <w:t xml:space="preserve">(N_Client) REFERENCES Client(N_Client)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CREATE TABLE </w:t>
      </w:r>
      <w:r w:rsidDel="00000000" w:rsidR="00000000" w:rsidRPr="00000000">
        <w:rPr>
          <w:rtl w:val="0"/>
        </w:rPr>
        <w:t xml:space="preserve">Article(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N_Article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DesignationArticle </w:t>
      </w:r>
      <w:r w:rsidDel="00000000" w:rsidR="00000000" w:rsidRPr="00000000">
        <w:rPr>
          <w:b w:val="1"/>
          <w:rtl w:val="0"/>
        </w:rPr>
        <w:t xml:space="preserve">VARCHAR</w:t>
      </w:r>
      <w:r w:rsidDel="00000000" w:rsidR="00000000" w:rsidRPr="00000000">
        <w:rPr>
          <w:rtl w:val="0"/>
        </w:rPr>
        <w:t xml:space="preserve">(50),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PUArticle </w:t>
      </w:r>
      <w:r w:rsidDel="00000000" w:rsidR="00000000" w:rsidRPr="00000000">
        <w:rPr>
          <w:b w:val="1"/>
          <w:rtl w:val="0"/>
        </w:rPr>
        <w:t xml:space="preserve">DECIMAL</w:t>
      </w:r>
      <w:r w:rsidDel="00000000" w:rsidR="00000000" w:rsidRPr="00000000">
        <w:rPr>
          <w:rtl w:val="0"/>
        </w:rPr>
        <w:t xml:space="preserve">(6,2),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N_Article)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CREATE TABLE</w:t>
      </w:r>
      <w:r w:rsidDel="00000000" w:rsidR="00000000" w:rsidRPr="00000000">
        <w:rPr>
          <w:rtl w:val="0"/>
        </w:rPr>
        <w:t xml:space="preserve"> SeComposeDe(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N_Commande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N_Article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Qte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TauxTva </w:t>
      </w:r>
      <w:r w:rsidDel="00000000" w:rsidR="00000000" w:rsidRPr="00000000">
        <w:rPr>
          <w:b w:val="1"/>
          <w:rtl w:val="0"/>
        </w:rPr>
        <w:t xml:space="preserve">DECIMAL</w:t>
      </w:r>
      <w:r w:rsidDel="00000000" w:rsidR="00000000" w:rsidRPr="00000000">
        <w:rPr>
          <w:rtl w:val="0"/>
        </w:rPr>
        <w:t xml:space="preserve">(3,2),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PRIMARY KEY</w:t>
      </w:r>
      <w:r w:rsidDel="00000000" w:rsidR="00000000" w:rsidRPr="00000000">
        <w:rPr>
          <w:rtl w:val="0"/>
        </w:rPr>
        <w:t xml:space="preserve">(N_Commande, N_Article),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(N_Commande) REFERENCES Commande(N_Commande),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FOREIGN KEY</w:t>
      </w:r>
      <w:r w:rsidDel="00000000" w:rsidR="00000000" w:rsidRPr="00000000">
        <w:rPr>
          <w:rtl w:val="0"/>
        </w:rPr>
        <w:t xml:space="preserve">(N_Article) REFERENCES Article(N_Article)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CDA 20229 - Vuagnoux Benjamin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