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Inteligência artificial, economia descentralizada e risco quântico</w:t>
      </w:r>
    </w:p>
    <w:p>
      <w:pPr>
        <w:jc w:val="center"/>
      </w:pPr>
      <w:r>
        <w:rPr>
          <w:b/>
          <w:sz w:val="22"/>
        </w:rPr>
        <w:t>Produtividade, redistribuição da confiança e resiliência criptográfica</w:t>
      </w:r>
    </w:p>
    <w:p>
      <w:pPr>
        <w:jc w:val="center"/>
      </w:pPr>
      <w:r>
        <w:rPr>
          <w:b/>
        </w:rPr>
        <w:t>Rafael Ribeiro</w:t>
      </w:r>
    </w:p>
    <w:p>
      <w:pPr>
        <w:jc w:val="center"/>
      </w:pPr>
      <w:r>
        <w:rPr>
          <w:i/>
        </w:rPr>
        <w:t>rafael_styvie@hotmail.com</w:t>
      </w:r>
    </w:p>
    <w:p>
      <w:pPr>
        <w:jc w:val="center"/>
      </w:pPr>
      <w:r>
        <w:rPr>
          <w:sz w:val="18"/>
        </w:rPr>
        <w:t>DOI: a ser atribuído pelo periódico</w:t>
      </w:r>
    </w:p>
    <w:p/>
    <w:p>
      <w:pPr>
        <w:pStyle w:val="Heading1"/>
        <w:keepNext/>
      </w:pPr>
      <w:r>
        <w:t>Resumo</w:t>
      </w:r>
    </w:p>
    <w:p>
      <w:r>
        <w:t>A inteligência artificial tornou-se infraestrutura econômica capaz de alterar produtividade, organização do trabalho, estrutura de mercado e tomada de decisão. Em paralelo, blockchain e finanças descentralizadas propõem novas formas de registrar direitos, executar contratos e coordenar transações sem uma autoridade central única. Este artigo analisa como essas trajetórias podem convergir e quais riscos emergem quando agentes automatizados passam a atuar sobre ativos digitais, mercados programáveis e redes criptográficas. Adota-se uma revisão narrativa e interdisciplinar de literatura econômica, sistemas distribuídos e segurança pós-quântica. Argumenta-se que os ganhos de eficiência não decorrem apenas da substituição de trabalho, mas da reorganização de processos, da criação de novas tarefas e da redução seletiva de custos de informação e verificação. Contudo, a descentralização técnica não elimina concentração econômica, dependência de infraestrutura, risco de governança ou assimetria informacional. A computação quântica adiciona um problema temporal: dados capturados hoje e chaves públicas expostas em redes permanentes podem ser comprometidos no futuro. Conclui-se que a captura sustentável de valor exige governança adaptativa, criptoagilidade, inventário de dependências e migração planejada para padrões pós-quânticos, evitando tanto o determinismo tecnológico quanto a adoção acrítica.</w:t>
      </w:r>
    </w:p>
    <w:p>
      <w:pPr>
        <w:pStyle w:val="Resumo"/>
      </w:pPr>
      <w:r>
        <w:rPr>
          <w:b/>
        </w:rPr>
        <w:t>Palavras-chave:</w:t>
      </w:r>
      <w:r>
        <w:t xml:space="preserve"> inteligência artificial; impactos econômicos; blockchain; finanças descentralizadas; computação quântica; criptografia pós-quântica.</w:t>
      </w:r>
    </w:p>
    <w:p>
      <w:pPr>
        <w:pStyle w:val="Heading1"/>
        <w:keepNext/>
      </w:pPr>
      <w:r>
        <w:t>Abstract</w:t>
      </w:r>
    </w:p>
    <w:p>
      <w:r>
        <w:t>Artificial intelligence has become an economic infrastructure capable of changing productivity, work organization, market structure, and decision-making. In parallel, blockchain and decentralized finance propose new ways to record rights, execute contracts, and coordinate transactions without a single central authority. This article examines how these trajectories may converge and which risks arise when automated agents operate digital assets, programmable markets, and cryptographic networks. It adopts a narrative and interdisciplinary review of economics, distributed systems, and post-quantum security. The analysis argues that efficiency gains depend not only on labor substitution but also on process redesign, new task creation, and selective reductions in information and verification costs. Technical decentralization, however, does not remove economic concentration, infrastructure dependence, governance risk, or information asymmetry. Quantum computing adds a temporal problem: data collected today and public keys exposed in permanent networks may be compromised in the future. Sustainable value capture therefore requires adaptive governance, crypto-agility, dependency inventories, and planned migration to post-quantum standards.</w:t>
      </w:r>
    </w:p>
    <w:p>
      <w:pPr>
        <w:pStyle w:val="Resumo"/>
      </w:pPr>
      <w:r>
        <w:rPr>
          <w:b/>
        </w:rPr>
        <w:t>Keywords:</w:t>
      </w:r>
      <w:r>
        <w:t xml:space="preserve"> artificial intelligence; economic impacts; blockchain; decentralized finance; quantum computing; post-quantum cryptography.</w:t>
      </w:r>
    </w:p>
    <w:p>
      <w:pPr>
        <w:pStyle w:val="Heading1"/>
        <w:keepNext/>
      </w:pPr>
      <w:r>
        <w:t>1 Introdução</w:t>
      </w:r>
    </w:p>
    <w:p>
      <w:r>
        <w:t>A difusão recente da inteligência artificial, especialmente de modelos generativos, deslocou o debate econômico da automação física para a produção cognitiva. Redação, programação, análise de documentos, previsão e atendimento passaram a ser parcialmente executáveis por sistemas que operam em escala e a baixo custo marginal. Essa mudança não implica, por si só, crescimento automático da produtividade. Tecnologias de propósito geral exigem investimentos complementares em dados, processos, qualificação e desenho organizacional antes que seus benefícios apareçam nas estatísticas agregadas, fenômeno associado ao paradoxo moderno da produtividade (BRYNJOLFSSON; ROCK; SYVERSON, 2017).</w:t>
      </w:r>
    </w:p>
    <w:p>
      <w:r>
        <w:t>Ao mesmo tempo, blockchain expandiu-se de um mecanismo de consenso para ativos digitais para uma camada programável de coordenação econômica. Contratos inteligentes permitem que regras de emissão, custódia, troca e liquidação sejam executadas por software. Nas finanças descentralizadas, ou DeFi, serviços equivalentes a negociação, crédito e gestão de ativos podem ser combinados em protocolos interoperáveis (SCHÄR, 2021). A promessa é reduzir certos custos de intermediação e ampliar transparência; o limite é que código, oráculos, interfaces, validadores e estruturas de governança continuam introduzindo pontos de poder e falha.</w:t>
      </w:r>
    </w:p>
    <w:p>
      <w:r>
        <w:t>A convergência entre IA e economia descentralizada amplia os dois efeitos. Agentes artificiais podem monitorar mercados, administrar garantias, negociar ativos e adaptar estratégias em tempo real. Em contrapartida, velocidade, opacidade e interdependência podem transformar erros locais em eventos sistêmicos. Além disso, a permanência dos registros em blockchain intensifica a exposição a riscos criptográficos de longo prazo. Uma máquina quântica tolerante a falhas, ainda inexistente em escala criptograficamente relevante, poderia executar algoritmos que ameaçam esquemas de chave pública baseados em fatoração e logaritmo discreto (SHOR, 1997).</w:t>
      </w:r>
    </w:p>
    <w:p>
      <w:r>
        <w:t>O objetivo deste artigo é construir uma linha de raciocínio integrada entre impactos econômicos da IA, descentralização baseada em blockchain e risco quântico. A questão orientadora é: quais condições institucionais e técnicas permitem capturar ganhos de produtividade e inovação sem transferir riscos excessivos para trabalhadores, usuários e infraestruturas financeiras?</w:t>
      </w:r>
    </w:p>
    <w:p>
      <w:pPr>
        <w:pStyle w:val="Heading1"/>
        <w:keepNext/>
      </w:pPr>
      <w:r>
        <w:t>2 Método</w:t>
      </w:r>
    </w:p>
    <w:p>
      <w:r>
        <w:t>Realizou-se revisão narrativa de literatura com abordagem interdisciplinar. Foram priorizados trabalhos econômicos sobre automação e produtividade, estudos sobre arquitetura e riscos de blockchain e DeFi, artigos fundacionais de computação quântica e documentos normativos do National Institute of Standards and Technology. A análise organiza as evidências em quatro eixos: produtividade e trabalho; estrutura de mercado; coordenação descentralizada; e resiliência criptográfica. Por se tratar de ensaio teórico, não se pretende estimar causalidade ou mensurar o impacto agregado da IA. O método busca identificar mecanismos, dependências e implicações para governança.</w:t>
      </w:r>
    </w:p>
    <w:p>
      <w:pPr>
        <w:pStyle w:val="Heading1"/>
        <w:keepNext/>
      </w:pPr>
      <w:r>
        <w:t>3 Inteligência artificial e transformação econômica</w:t>
      </w:r>
    </w:p>
    <w:p>
      <w:pPr>
        <w:pStyle w:val="Heading2"/>
        <w:keepNext/>
      </w:pPr>
      <w:r>
        <w:t>3.1 Produtividade, tarefas e complementaridade</w:t>
      </w:r>
    </w:p>
    <w:p>
      <w:r>
        <w:t>O efeito econômico da IA depende da tarefa que ela modifica. Quando automatiza atividades antes realizadas por pessoas, produz efeito de deslocamento sobre a demanda de trabalho. Quando reduz custos, melhora qualidade ou cria novas tarefas, pode elevar produção, investimento e demanda por competências complementares. O modelo baseado em tarefas de Acemoglu e Restrepo (2018) mostra que produtividade e emprego não são resultados mutuamente exclusivos, mas o equilíbrio depende da velocidade da automação, da criação de novas funções e da capacidade de adaptação institucional.</w:t>
      </w:r>
    </w:p>
    <w:p>
      <w:r>
        <w:t>Evidências experimentais indicam ganhos relevantes em tarefas delimitadas, mas heterogêneos entre trabalhadores e contextos. Noy e Zhang (2023) observaram melhoria de velocidade e qualidade em tarefas de escrita profissional com IA generativa. A extrapolação para toda a economia requer cautela: desempenho em uma tarefa não equivale a produtividade organizacional, e benefícios podem ser neutralizados por revisão insuficiente, erros plausíveis, integração precária ou aumento de volume sem aumento proporcional de valor.</w:t>
      </w:r>
    </w:p>
    <w:p>
      <w:r>
        <w:t>A adoção madura desloca o foco do número de tarefas automatizadas para o desenho do sistema sociotécnico. Dados confiáveis, supervisão humana, responsabilidade decisória e aprendizagem contínua tornam-se ativos produtivos. Empresas que apenas adicionam uma ferramenta a processos antigos podem aumentar custos de coordenação; empresas que redesenham fluxos conseguem transformar capacidade computacional em produtividade mensurável.</w:t>
      </w:r>
    </w:p>
    <w:p>
      <w:pPr>
        <w:pStyle w:val="Heading2"/>
        <w:keepNext/>
      </w:pPr>
      <w:r>
        <w:t>3.2 Trabalho, distribuição e concentração</w:t>
      </w:r>
    </w:p>
    <w:p>
      <w:r>
        <w:t>Os ganhos da IA podem ser distribuídos de modo desigual. Firmas com capital, dados exclusivos, capacidade computacional e canais de distribuição possuem vantagem cumulativa. Economias de escala podem favorecer plataformas dominantes, enquanto trabalhadores enfrentam pressão sobre tarefas rotineiras e necessidade de requalificação. A política econômica deve observar não somente crescimento do produto, mas salários, participação do trabalho na renda, mobilidade profissional e concorrência.</w:t>
      </w:r>
    </w:p>
    <w:p>
      <w:r>
        <w:t>A IA também reduz custos de previsão e personalização, ampliando discriminação de preços e gestão algorítmica. Sem transparência e contestabilidade, decisões automatizadas podem reproduzir vieses, assimetrias e exclusões. Portanto, eficiência precisa ser acompanhada por auditoria, proteção de dados, mecanismos de recurso e definição clara de responsabilidade.</w:t>
      </w:r>
    </w:p>
    <w:p>
      <w:pPr>
        <w:pStyle w:val="Heading1"/>
        <w:keepNext/>
      </w:pPr>
      <w:r>
        <w:t>4 Blockchain e economia descentralizada</w:t>
      </w:r>
    </w:p>
    <w:p>
      <w:pPr>
        <w:pStyle w:val="Heading2"/>
        <w:keepNext/>
      </w:pPr>
      <w:r>
        <w:t>4.1 Redução de custos de verificação</w:t>
      </w:r>
    </w:p>
    <w:p>
      <w:r>
        <w:t>Blockchain é útil quando múltiplas partes precisam compartilhar estado e não desejam depender integralmente de um operador único. Seu valor econômico está na combinação entre registro verificável, regras de consenso e programabilidade. Andolfatto (2018) ressalta, contudo, que muitas aplicações funcionam melhor com bancos de dados convencionais. A descentralização impõe custos de replicação, consenso, governança e desempenho; logo, deve ser justificada por necessidades concretas de confiança distribuída, resistência à censura ou interoperabilidade.</w:t>
      </w:r>
    </w:p>
    <w:p>
      <w:r>
        <w:t>Tokenização pode representar direitos e permitir liquidação programável. Cong, Li e Wang (2021) mostram que tokens e efeitos de rede alteram incentivos de adoção e financiamento. Em DeFi, contratos inteligentes compõem serviços sem uma instituição coordenadora central, criando transparência operacional e acesso global. Entretanto, composição também gera contágio: uma falha em protocolo, ponte, stablecoin ou oráculo pode propagar-se por aplicações dependentes.</w:t>
      </w:r>
    </w:p>
    <w:p>
      <w:pPr>
        <w:pStyle w:val="Heading2"/>
        <w:keepNext/>
      </w:pPr>
      <w:r>
        <w:t>4.2 Descentralização técnica e poder econômico</w:t>
      </w:r>
    </w:p>
    <w:p>
      <w:r>
        <w:t>A ausência de um intermediário jurídico tradicional não significa ausência de intermediação. Desenvolvedores controlam atualizações; validadores ordenam transações; provedores de interface definem acesso; emissores de stablecoins administram reservas; e detentores de tokens influenciam governança. Assim, a análise deve separar descentralização do consenso, do desenvolvimento, da custódia, da governança e da distribuição econômica.</w:t>
      </w:r>
    </w:p>
    <w:p>
      <w:r>
        <w:t>A economia descentralizada também enfrenta problemas conhecidos das finanças: alavancagem, corrida por liquidez, informação assimétrica e risco operacional. A transparência on-chain melhora observabilidade, mas não garante que usuários compreendam código ou riscos. Registros públicos podem inclusive ampliar vigilância econômica, exigindo equilíbrio entre auditabilidade e privacidade.</w:t>
      </w:r>
    </w:p>
    <w:p>
      <w:pPr>
        <w:pStyle w:val="Heading1"/>
        <w:keepNext/>
      </w:pPr>
      <w:r>
        <w:t>5 Convergência entre IA e mercados programáveis</w:t>
      </w:r>
    </w:p>
    <w:p>
      <w:r>
        <w:t>A combinação de IA e blockchain permite agentes econômicos de software capazes de contratar serviços, administrar ativos e responder a condições verificáveis. Blockchain oferece identidade operacional, registro e liquidação; IA oferece interpretação, previsão e adaptação. Essa divisão é atraente porque separa raciocínio probabilístico de execução determinística. Ainda assim, um contrato inteligente pode executar perfeitamente uma decisão produzida por um modelo incorreto.</w:t>
      </w:r>
    </w:p>
    <w:p>
      <w:r>
        <w:t>Há três canais econômicos principais. Primeiro, redução de custos de coordenação em cadeias com múltiplos participantes. Segundo, novos mercados para dados, capacidade computacional e propriedade digital. Terceiro, automação financeira contínua, incluindo tesouraria, garantias e seguros paramétricos. Os riscos correspondentes são concentração dos modelos e infraestrutura, manipulação de dados e oráculos, velocidade de contágio e dificuldade de atribuir responsabilidade a agentes autônomos.</w:t>
      </w:r>
    </w:p>
    <w:p>
      <w:r>
        <w:br w:type="page"/>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51"/>
        <w:gridCol w:w="2351"/>
        <w:gridCol w:w="2351"/>
        <w:gridCol w:w="2351"/>
      </w:tblGrid>
      <w:tr>
        <w:tc>
          <w:tcPr>
            <w:tcW w:type="dxa" w:w="1701"/>
            <w:shd w:fill="1F4E78"/>
            <w:vAlign w:val="center"/>
          </w:tcPr>
          <w:p>
            <w:r>
              <w:rPr>
                <w:b/>
                <w:color w:val="FFFFFF"/>
                <w:sz w:val="17"/>
              </w:rPr>
              <w:t>Dimensão</w:t>
            </w:r>
          </w:p>
        </w:tc>
        <w:tc>
          <w:tcPr>
            <w:tcW w:type="dxa" w:w="2381"/>
            <w:shd w:fill="1F4E78"/>
            <w:vAlign w:val="center"/>
          </w:tcPr>
          <w:p>
            <w:r>
              <w:rPr>
                <w:b/>
                <w:color w:val="FFFFFF"/>
                <w:sz w:val="17"/>
              </w:rPr>
              <w:t>Potencial econômico</w:t>
            </w:r>
          </w:p>
        </w:tc>
        <w:tc>
          <w:tcPr>
            <w:tcW w:type="dxa" w:w="2381"/>
            <w:shd w:fill="1F4E78"/>
            <w:vAlign w:val="center"/>
          </w:tcPr>
          <w:p>
            <w:r>
              <w:rPr>
                <w:b/>
                <w:color w:val="FFFFFF"/>
                <w:sz w:val="17"/>
              </w:rPr>
              <w:t>Risco dominante</w:t>
            </w:r>
          </w:p>
        </w:tc>
        <w:tc>
          <w:tcPr>
            <w:tcW w:type="dxa" w:w="2381"/>
            <w:shd w:fill="1F4E78"/>
            <w:vAlign w:val="center"/>
          </w:tcPr>
          <w:p>
            <w:r>
              <w:rPr>
                <w:b/>
                <w:color w:val="FFFFFF"/>
                <w:sz w:val="17"/>
              </w:rPr>
              <w:t>Resposta recomendada</w:t>
            </w:r>
          </w:p>
        </w:tc>
      </w:tr>
      <w:tr>
        <w:tc>
          <w:tcPr>
            <w:tcW w:type="dxa" w:w="1701"/>
            <w:vAlign w:val="center"/>
          </w:tcPr>
          <w:p>
            <w:pPr>
              <w:jc w:val="left"/>
            </w:pPr>
            <w:r>
              <w:rPr>
                <w:sz w:val="16"/>
              </w:rPr>
              <w:t>IA no trabalho</w:t>
            </w:r>
          </w:p>
        </w:tc>
        <w:tc>
          <w:tcPr>
            <w:tcW w:type="dxa" w:w="2381"/>
            <w:vAlign w:val="center"/>
          </w:tcPr>
          <w:p>
            <w:pPr>
              <w:jc w:val="left"/>
            </w:pPr>
            <w:r>
              <w:rPr>
                <w:sz w:val="16"/>
              </w:rPr>
              <w:t>Automação e aumento de capacidade</w:t>
            </w:r>
          </w:p>
        </w:tc>
        <w:tc>
          <w:tcPr>
            <w:tcW w:type="dxa" w:w="2381"/>
            <w:vAlign w:val="center"/>
          </w:tcPr>
          <w:p>
            <w:pPr>
              <w:jc w:val="left"/>
            </w:pPr>
            <w:r>
              <w:rPr>
                <w:sz w:val="16"/>
              </w:rPr>
              <w:t>Deslocamento, erro e concentração</w:t>
            </w:r>
          </w:p>
        </w:tc>
        <w:tc>
          <w:tcPr>
            <w:tcW w:type="dxa" w:w="2381"/>
            <w:vAlign w:val="center"/>
          </w:tcPr>
          <w:p>
            <w:pPr>
              <w:jc w:val="left"/>
            </w:pPr>
            <w:r>
              <w:rPr>
                <w:sz w:val="16"/>
              </w:rPr>
              <w:t>Redesenho de tarefas, qualificação e supervisão</w:t>
            </w:r>
          </w:p>
        </w:tc>
      </w:tr>
      <w:tr>
        <w:tc>
          <w:tcPr>
            <w:tcW w:type="dxa" w:w="1701"/>
            <w:vAlign w:val="center"/>
            <w:shd w:fill="EEF4F8"/>
          </w:tcPr>
          <w:p>
            <w:pPr>
              <w:jc w:val="left"/>
            </w:pPr>
            <w:r>
              <w:rPr>
                <w:sz w:val="16"/>
              </w:rPr>
              <w:t>Blockchain</w:t>
            </w:r>
          </w:p>
        </w:tc>
        <w:tc>
          <w:tcPr>
            <w:tcW w:type="dxa" w:w="2381"/>
            <w:vAlign w:val="center"/>
            <w:shd w:fill="EEF4F8"/>
          </w:tcPr>
          <w:p>
            <w:pPr>
              <w:jc w:val="left"/>
            </w:pPr>
            <w:r>
              <w:rPr>
                <w:sz w:val="16"/>
              </w:rPr>
              <w:t>Verificação compartilhada e liquidação programável</w:t>
            </w:r>
          </w:p>
        </w:tc>
        <w:tc>
          <w:tcPr>
            <w:tcW w:type="dxa" w:w="2381"/>
            <w:vAlign w:val="center"/>
            <w:shd w:fill="EEF4F8"/>
          </w:tcPr>
          <w:p>
            <w:pPr>
              <w:jc w:val="left"/>
            </w:pPr>
            <w:r>
              <w:rPr>
                <w:sz w:val="16"/>
              </w:rPr>
              <w:t>Custos de consenso e governança informal</w:t>
            </w:r>
          </w:p>
        </w:tc>
        <w:tc>
          <w:tcPr>
            <w:tcW w:type="dxa" w:w="2381"/>
            <w:vAlign w:val="center"/>
            <w:shd w:fill="EEF4F8"/>
          </w:tcPr>
          <w:p>
            <w:pPr>
              <w:jc w:val="left"/>
            </w:pPr>
            <w:r>
              <w:rPr>
                <w:sz w:val="16"/>
              </w:rPr>
              <w:t>Usar somente quando confiança distribuída for necessária</w:t>
            </w:r>
          </w:p>
        </w:tc>
      </w:tr>
      <w:tr>
        <w:tc>
          <w:tcPr>
            <w:tcW w:type="dxa" w:w="1701"/>
            <w:vAlign w:val="center"/>
          </w:tcPr>
          <w:p>
            <w:pPr>
              <w:jc w:val="left"/>
            </w:pPr>
            <w:r>
              <w:rPr>
                <w:sz w:val="16"/>
              </w:rPr>
              <w:t>DeFi</w:t>
            </w:r>
          </w:p>
        </w:tc>
        <w:tc>
          <w:tcPr>
            <w:tcW w:type="dxa" w:w="2381"/>
            <w:vAlign w:val="center"/>
          </w:tcPr>
          <w:p>
            <w:pPr>
              <w:jc w:val="left"/>
            </w:pPr>
            <w:r>
              <w:rPr>
                <w:sz w:val="16"/>
              </w:rPr>
              <w:t>Interoperabilidade e acesso contínuo</w:t>
            </w:r>
          </w:p>
        </w:tc>
        <w:tc>
          <w:tcPr>
            <w:tcW w:type="dxa" w:w="2381"/>
            <w:vAlign w:val="center"/>
          </w:tcPr>
          <w:p>
            <w:pPr>
              <w:jc w:val="left"/>
            </w:pPr>
            <w:r>
              <w:rPr>
                <w:sz w:val="16"/>
              </w:rPr>
              <w:t>Contágio, oráculos e falhas de contrato</w:t>
            </w:r>
          </w:p>
        </w:tc>
        <w:tc>
          <w:tcPr>
            <w:tcW w:type="dxa" w:w="2381"/>
            <w:vAlign w:val="center"/>
          </w:tcPr>
          <w:p>
            <w:pPr>
              <w:jc w:val="left"/>
            </w:pPr>
            <w:r>
              <w:rPr>
                <w:sz w:val="16"/>
              </w:rPr>
              <w:t>Limites, auditoria, reservas e circuit breakers</w:t>
            </w:r>
          </w:p>
        </w:tc>
      </w:tr>
      <w:tr>
        <w:tc>
          <w:tcPr>
            <w:tcW w:type="dxa" w:w="1701"/>
            <w:vAlign w:val="center"/>
            <w:shd w:fill="EEF4F8"/>
          </w:tcPr>
          <w:p>
            <w:pPr>
              <w:jc w:val="left"/>
            </w:pPr>
            <w:r>
              <w:rPr>
                <w:sz w:val="16"/>
              </w:rPr>
              <w:t>IA mais DeFi</w:t>
            </w:r>
          </w:p>
        </w:tc>
        <w:tc>
          <w:tcPr>
            <w:tcW w:type="dxa" w:w="2381"/>
            <w:vAlign w:val="center"/>
            <w:shd w:fill="EEF4F8"/>
          </w:tcPr>
          <w:p>
            <w:pPr>
              <w:jc w:val="left"/>
            </w:pPr>
            <w:r>
              <w:rPr>
                <w:sz w:val="16"/>
              </w:rPr>
              <w:t>Agentes autônomos e mercados adaptativos</w:t>
            </w:r>
          </w:p>
        </w:tc>
        <w:tc>
          <w:tcPr>
            <w:tcW w:type="dxa" w:w="2381"/>
            <w:vAlign w:val="center"/>
            <w:shd w:fill="EEF4F8"/>
          </w:tcPr>
          <w:p>
            <w:pPr>
              <w:jc w:val="left"/>
            </w:pPr>
            <w:r>
              <w:rPr>
                <w:sz w:val="16"/>
              </w:rPr>
              <w:t>Decisões opacas executadas em alta velocidade</w:t>
            </w:r>
          </w:p>
        </w:tc>
        <w:tc>
          <w:tcPr>
            <w:tcW w:type="dxa" w:w="2381"/>
            <w:vAlign w:val="center"/>
            <w:shd w:fill="EEF4F8"/>
          </w:tcPr>
          <w:p>
            <w:pPr>
              <w:jc w:val="left"/>
            </w:pPr>
            <w:r>
              <w:rPr>
                <w:sz w:val="16"/>
              </w:rPr>
              <w:t>Restrições operacionais, explicabilidade e responsabilização</w:t>
            </w:r>
          </w:p>
        </w:tc>
      </w:tr>
      <w:tr>
        <w:tc>
          <w:tcPr>
            <w:tcW w:type="dxa" w:w="1701"/>
            <w:vAlign w:val="center"/>
          </w:tcPr>
          <w:p>
            <w:pPr>
              <w:jc w:val="left"/>
            </w:pPr>
            <w:r>
              <w:rPr>
                <w:sz w:val="16"/>
              </w:rPr>
              <w:t>Risco quântico</w:t>
            </w:r>
          </w:p>
        </w:tc>
        <w:tc>
          <w:tcPr>
            <w:tcW w:type="dxa" w:w="2381"/>
            <w:vAlign w:val="center"/>
          </w:tcPr>
          <w:p>
            <w:pPr>
              <w:jc w:val="left"/>
            </w:pPr>
            <w:r>
              <w:rPr>
                <w:sz w:val="16"/>
              </w:rPr>
              <w:t>Inovação computacional futura</w:t>
            </w:r>
          </w:p>
        </w:tc>
        <w:tc>
          <w:tcPr>
            <w:tcW w:type="dxa" w:w="2381"/>
            <w:vAlign w:val="center"/>
          </w:tcPr>
          <w:p>
            <w:pPr>
              <w:jc w:val="left"/>
            </w:pPr>
            <w:r>
              <w:rPr>
                <w:sz w:val="16"/>
              </w:rPr>
              <w:t>Quebra de assinaturas e chaves públicas</w:t>
            </w:r>
          </w:p>
        </w:tc>
        <w:tc>
          <w:tcPr>
            <w:tcW w:type="dxa" w:w="2381"/>
            <w:vAlign w:val="center"/>
          </w:tcPr>
          <w:p>
            <w:pPr>
              <w:jc w:val="left"/>
            </w:pPr>
            <w:r>
              <w:rPr>
                <w:sz w:val="16"/>
              </w:rPr>
              <w:t>Inventário, criptoagilidade e migração pós-quântica</w:t>
            </w:r>
          </w:p>
        </w:tc>
      </w:tr>
    </w:tbl>
    <w:p>
      <w:pPr>
        <w:jc w:val="center"/>
      </w:pPr>
      <w:r>
        <w:rPr>
          <w:i/>
          <w:sz w:val="17"/>
        </w:rPr>
        <w:t>Tabela 1  Síntese de oportunidades, riscos e respostas de governança</w:t>
      </w:r>
    </w:p>
    <w:p>
      <w:pPr>
        <w:pStyle w:val="Heading1"/>
        <w:keepNext/>
      </w:pPr>
      <w:r>
        <w:t>6 Computação quântica e obsolescência criptográfica</w:t>
      </w:r>
    </w:p>
    <w:p>
      <w:pPr>
        <w:pStyle w:val="Heading2"/>
        <w:keepNext/>
      </w:pPr>
      <w:r>
        <w:t>6.1 O risco para chaves públicas e blockchains</w:t>
      </w:r>
    </w:p>
    <w:p>
      <w:r>
        <w:t>A segurança de RSA depende da dificuldade de fatorar inteiros grandes; a de Diffie-Hellman e de assinaturas de curva elíptica depende de variantes do logaritmo discreto. O algoritmo de Shor demonstra que esses problemas podem ser resolvidos em tempo polinomial por uma máquina quântica adequada (SHOR, 1997; EKERT; JOZSA, 1996). Isso não significa que sistemas atuais já possam quebrar chaves de produção: são necessários computadores quânticos tolerantes a falhas, com escala e correção de erros muito superiores às capacidades correntes. O risco, porém, deve ser administrado antes da materialização.</w:t>
      </w:r>
    </w:p>
    <w:p>
      <w:r>
        <w:t>Em blockchains, assinaturas digitais autorizam transferências e definem controle econômico. A exposição de uma chave pública pode permitir, em um cenário quântico futuro, derivar a chave privada e falsificar transações. Redes imutáveis enfrentam dificuldade adicional: algoritmos, formatos de endereço e regras de consenso precisam migrar sem fragmentar ativos ou excluir usuários inativos. Contratos e arquivos assinados por longos períodos também podem perder validade probatória.</w:t>
      </w:r>
    </w:p>
    <w:p>
      <w:r>
        <w:t>A ameaça conhecida como coletar agora e decifrar depois afeta dados cujo valor persiste por anos. Adversários podem armazenar tráfego cifrado e aguardar capacidade futura. O NIST destaca essa urgência em seu plano de transição (NIST, 2024d). Para blockchains públicas, o problema se estende a dados e assinaturas permanentemente observáveis.</w:t>
      </w:r>
    </w:p>
    <w:p>
      <w:pPr>
        <w:pStyle w:val="Heading2"/>
        <w:keepNext/>
      </w:pPr>
      <w:r>
        <w:t>6.2 Padrões pós-quânticos e criptoagilidade</w:t>
      </w:r>
    </w:p>
    <w:p>
      <w:r>
        <w:t>Em 2024, o NIST finalizou os padrões FIPS 203, 204 e 205. O ML-KEM destina-se ao estabelecimento de chaves; ML-DSA e SLH-DSA destinam-se a assinaturas digitais. Esses padrões fornecem base concreta para migração, embora adoção exija testes de desempenho, compatibilidade, tamanho de chaves e assinaturas, implementação segura e atualização de protocolos (NIST, 2024a; 2024b; 2024c).</w:t>
      </w:r>
    </w:p>
    <w:p>
      <w:r>
        <w:t>Criptoagilidade é a capacidade de localizar, substituir e validar primitivas criptográficas sem reconstruir todo o sistema. Ela exige inventário de certificados, bibliotecas, protocolos, dispositivos, contratos e dependências externas; classificação de dados por vida útil; abstração de algoritmos; testes de interoperabilidade; e governança de chaves. Abordagens híbridas podem combinar mecanismos clássicos e pós-quânticos durante a transição, reduzindo o risco de depender exclusivamente de uma família recente.</w:t>
      </w:r>
    </w:p>
    <w:p>
      <w:pPr>
        <w:pStyle w:val="Heading1"/>
        <w:keepNext/>
      </w:pPr>
      <w:r>
        <w:t>7 Discussão</w:t>
      </w:r>
    </w:p>
    <w:p>
      <w:r>
        <w:t>IA, blockchain e computação quântica não devem ser analisadas como ondas independentes. A IA aumenta a capacidade de explorar dados e automatizar decisões; blockchain aumenta a persistência e executabilidade dessas decisões; computação quântica ameaça parte da base criptográfica que sustenta identidade e propriedade digitais. O benefício econômico da integração cresce com a qualidade da governança, enquanto o dano potencial cresce com escala, velocidade e irreversibilidade.</w:t>
      </w:r>
    </w:p>
    <w:p>
      <w:r>
        <w:t>A principal tensão é entre eficiência de curto prazo e resiliência de longo prazo. Firmas podem capturar ganhos rápidos ao centralizar modelos e automatizar operações, mas acumulam dependência tecnológica. Protocolos podem maximizar liquidez e composição, mas ampliar contágio. Organizações podem postergar migração criptográfica por não existir ainda uma ameaça operacional, mas criar passivos difíceis de remover quando equipamentos, dados e contratos possuem ciclos longos.</w:t>
      </w:r>
    </w:p>
    <w:p>
      <w:r>
        <w:t>Uma estratégia coerente deve tratar tecnologia como arquitetura institucional. Para IA, isso envolve métricas de valor, qualidade, impacto laboral e responsabilização. Para blockchain, envolve necessidade real de confiança distribuída, governança explícita e segurança de contratos. Para risco quântico, envolve inventário, prioridades baseadas na vida útil dos dados e implantação gradual de padrões. A decisão economicamente racional não é adotar tudo nem rejeitar tudo, mas preservar opções e reduzir custos de mudança.</w:t>
      </w:r>
    </w:p>
    <w:p>
      <w:pPr>
        <w:pStyle w:val="Heading1"/>
        <w:keepNext/>
      </w:pPr>
      <w:r>
        <w:t>8 Recomendações</w:t>
      </w:r>
    </w:p>
    <w:p>
      <w:pPr>
        <w:pStyle w:val="ListNumber"/>
      </w:pPr>
      <w:r>
        <w:t>Mensurar resultados de IA por produtividade ajustada à qualidade, e não apenas por volume ou redução de pessoal.</w:t>
      </w:r>
    </w:p>
    <w:p>
      <w:pPr>
        <w:pStyle w:val="ListNumber"/>
      </w:pPr>
      <w:r>
        <w:t>Redesenhar tarefas e investir em competências complementares, com mecanismos de revisão e contestação.</w:t>
      </w:r>
    </w:p>
    <w:p>
      <w:pPr>
        <w:pStyle w:val="ListNumber"/>
      </w:pPr>
      <w:r>
        <w:t>Aplicar blockchain somente quando verificabilidade compartilhada ou resistência a controle unilateral justificar os custos.</w:t>
      </w:r>
    </w:p>
    <w:p>
      <w:pPr>
        <w:pStyle w:val="ListNumber"/>
      </w:pPr>
      <w:r>
        <w:t>Mapear concentração real em validadores, interfaces, oráculos, custodiantes, provedores de nuvem e modelos de IA.</w:t>
      </w:r>
    </w:p>
    <w:p>
      <w:pPr>
        <w:pStyle w:val="ListNumber"/>
      </w:pPr>
      <w:r>
        <w:t>Impor limites operacionais a agentes autônomos, com segregação de funções, tetos de exposição e interrupção segura.</w:t>
      </w:r>
    </w:p>
    <w:p>
      <w:pPr>
        <w:pStyle w:val="ListNumber"/>
      </w:pPr>
      <w:r>
        <w:t>Criar inventário criptográfico e classificar dados e ativos segundo horizonte de confidencialidade e criticidade.</w:t>
      </w:r>
    </w:p>
    <w:p>
      <w:pPr>
        <w:pStyle w:val="ListNumber"/>
      </w:pPr>
      <w:r>
        <w:t>Planejar migração para ML-KEM, ML-DSA ou SLH-DSA conforme o caso, testando abordagens híbridas e interoperabilidade.</w:t>
      </w:r>
    </w:p>
    <w:p>
      <w:pPr>
        <w:pStyle w:val="ListNumber"/>
      </w:pPr>
      <w:r>
        <w:t>Incluir risco pós-quântico em auditorias, continuidade de negócios, contratos de fornecedores e governança de ativos digitais.</w:t>
      </w:r>
    </w:p>
    <w:p>
      <w:pPr>
        <w:pStyle w:val="Heading1"/>
        <w:keepNext/>
      </w:pPr>
      <w:r>
        <w:t>9 Conclusão</w:t>
      </w:r>
    </w:p>
    <w:p>
      <w:r>
        <w:t>A inteligência artificial pode elevar produtividade e criar novas formas de produção, mas seus resultados dependem de complementaridades organizacionais e de como renda, poder e risco são distribuídos. Blockchain e DeFi podem reduzir custos específicos de verificação e liquidação, sem eliminar intermediários econômicos ou a necessidade de governança. A convergência dessas tecnologias permite agentes e mercados programáveis, ao mesmo tempo que eleva a velocidade e a interdependência das falhas.</w:t>
      </w:r>
    </w:p>
    <w:p>
      <w:r>
        <w:t>A computação quântica torna essa discussão intertemporal. Mesmo sem uma máquina capaz de comprometer criptografia em escala atual, dados de longa duração, assinaturas e ativos baseados em chaves públicas já exigem planejamento. A resposta mais robusta é combinar inovação seletiva com criptoagilidade, transição pós-quântica e governança adaptativa. Economias digitais sustentáveis serão aquelas capazes de aumentar eficiência sem tornar confiança, propriedade e estabilidade dependentes de tecnologias que não possam ser auditadas ou substituídas.</w:t>
      </w:r>
    </w:p>
    <w:p>
      <w:pPr>
        <w:pStyle w:val="Heading1"/>
        <w:keepNext/>
      </w:pPr>
      <w:r>
        <w:t>Referências</w:t>
      </w:r>
    </w:p>
    <w:p>
      <w:pPr>
        <w:spacing w:after="80"/>
        <w:ind w:hanging="397" w:left="397"/>
      </w:pPr>
      <w:r>
        <w:rPr>
          <w:sz w:val="18"/>
        </w:rPr>
        <w:t>ACEMOGLU, D.; RESTREPO, P. Artificial intelligence, automation and work. NBER Working Paper, n. 24196, 2018. DOI: 10.3386/w24196.</w:t>
      </w:r>
    </w:p>
    <w:p>
      <w:pPr>
        <w:spacing w:after="80"/>
        <w:ind w:hanging="397" w:left="397"/>
      </w:pPr>
      <w:r>
        <w:rPr>
          <w:sz w:val="18"/>
        </w:rPr>
        <w:t>ANDOLFATTO, D. Blockchain: what it is, what it does, and why you probably do not need one. Federal Reserve Bank of St. Louis Review, v. 100, n. 2, p. 87-95, 2018. DOI: 10.20955/r.2018.87-95.</w:t>
      </w:r>
    </w:p>
    <w:p>
      <w:pPr>
        <w:spacing w:after="80"/>
        <w:ind w:hanging="397" w:left="397"/>
      </w:pPr>
      <w:r>
        <w:rPr>
          <w:sz w:val="18"/>
        </w:rPr>
        <w:t>BRYNJOLFSSON, E.; ROCK, D.; SYVERSON, C. Artificial intelligence and the modern productivity paradox: a clash of expectations and statistics. NBER Working Paper, n. 24001, 2017. DOI: 10.3386/w24001.</w:t>
      </w:r>
    </w:p>
    <w:p>
      <w:pPr>
        <w:spacing w:after="80"/>
        <w:ind w:hanging="397" w:left="397"/>
      </w:pPr>
      <w:r>
        <w:rPr>
          <w:sz w:val="18"/>
        </w:rPr>
        <w:t>CONG, L. W.; LI, Y.; WANG, N. Tokenomics: dynamic adoption and valuation. The Review of Financial Studies, v. 34, n. 3, p. 1105-1155, 2021. DOI: 10.1093/rfs/hhaa089.</w:t>
      </w:r>
    </w:p>
    <w:p>
      <w:pPr>
        <w:spacing w:after="80"/>
        <w:ind w:hanging="397" w:left="397"/>
      </w:pPr>
      <w:r>
        <w:rPr>
          <w:sz w:val="18"/>
        </w:rPr>
        <w:t>EKERT, A.; JOZSA, R. Quantum computation and Shor’s factoring algorithm. Reviews of Modern Physics, v. 68, n. 3, p. 733-753, 1996. DOI: 10.1103/RevModPhys.68.733.</w:t>
      </w:r>
    </w:p>
    <w:p>
      <w:pPr>
        <w:spacing w:after="80"/>
        <w:ind w:hanging="397" w:left="397"/>
      </w:pPr>
      <w:r>
        <w:rPr>
          <w:sz w:val="18"/>
        </w:rPr>
        <w:t>NIST. Module-Lattice-Based Key-Encapsulation Mechanism Standard. FIPS PUB 203. Gaithersburg, 2024a. DOI: 10.6028/NIST.FIPS.203.</w:t>
      </w:r>
    </w:p>
    <w:p>
      <w:pPr>
        <w:spacing w:after="80"/>
        <w:ind w:hanging="397" w:left="397"/>
      </w:pPr>
      <w:r>
        <w:rPr>
          <w:sz w:val="18"/>
        </w:rPr>
        <w:t>NIST. Module-Lattice-Based Digital Signature Standard. FIPS PUB 204. Gaithersburg, 2024b. DOI: 10.6028/NIST.FIPS.204.</w:t>
      </w:r>
    </w:p>
    <w:p>
      <w:pPr>
        <w:spacing w:after="80"/>
        <w:ind w:hanging="397" w:left="397"/>
      </w:pPr>
      <w:r>
        <w:rPr>
          <w:sz w:val="18"/>
        </w:rPr>
        <w:t>NIST. Stateless Hash-Based Digital Signature Standard. FIPS PUB 205. Gaithersburg, 2024c. DOI: 10.6028/NIST.FIPS.205.</w:t>
      </w:r>
    </w:p>
    <w:p>
      <w:pPr>
        <w:spacing w:after="80"/>
        <w:ind w:hanging="397" w:left="397"/>
      </w:pPr>
      <w:r>
        <w:rPr>
          <w:sz w:val="18"/>
        </w:rPr>
        <w:t>NIST. Transition to Post-Quantum Cryptography Standards. NIST IR 8547 Initial Public Draft. Gaithersburg, 2024d. DOI: 10.6028/NIST.IR.8547.ipd.</w:t>
      </w:r>
    </w:p>
    <w:p>
      <w:pPr>
        <w:spacing w:after="80"/>
        <w:ind w:hanging="397" w:left="397"/>
      </w:pPr>
      <w:r>
        <w:rPr>
          <w:sz w:val="18"/>
        </w:rPr>
        <w:t>NOY, S.; ZHANG, W. Experimental evidence on the productivity effects of generative artificial intelligence. Science, v. 381, n. 6654, p. 187-192, 2023. DOI: 10.1126/science.adh2586.</w:t>
      </w:r>
    </w:p>
    <w:p>
      <w:pPr>
        <w:spacing w:after="80"/>
        <w:ind w:hanging="397" w:left="397"/>
      </w:pPr>
      <w:r>
        <w:rPr>
          <w:sz w:val="18"/>
        </w:rPr>
        <w:t>SCHÄR, F. Decentralized finance: on blockchain- and smart contract-based financial markets. Federal Reserve Bank of St. Louis Review, v. 103, n. 2, p. 153-174, 2021. DOI: 10.20955/r.103.153-74.</w:t>
      </w:r>
    </w:p>
    <w:p>
      <w:pPr>
        <w:spacing w:after="80"/>
        <w:ind w:hanging="397" w:left="397"/>
      </w:pPr>
      <w:r>
        <w:rPr>
          <w:sz w:val="18"/>
        </w:rPr>
        <w:t>SHOR, P. W. Polynomial-time algorithms for prime factorization and discrete logarithms on a quantum computer. SIAM Journal on Computing, v. 26, n. 5, p. 1484-1509, 1997. DOI: 10.1137/S0097539795293172.</w:t>
      </w:r>
    </w:p>
    <w:sectPr w:rsidR="00FC693F" w:rsidRPr="0006063C" w:rsidSect="00034616">
      <w:headerReference w:type="default" r:id="rId9"/>
      <w:footerReference w:type="default" r:id="rId10"/>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Rafael Ribeiro  |  </w:t>
    </w:r>
    <w:r>
      <w:rPr>
        <w:color w:val="5A5A5A"/>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A5A5A"/>
        <w:sz w:val="16"/>
      </w:rPr>
      <w:t>INTELIGÊNCIA ARTIFICIAL E ECONOMIA DESCENTRALIZADA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o">
    <w:name w:val="Resumo"/>
    <w:basedOn w:val="Normal"/>
    <w:pPr>
      <w:spacing w:line="240" w:lineRule="auto" w:after="100"/>
      <w:jc w:val="both"/>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Inteligência artificial, economia descentralizada e risco quântico</dc:title>
  <dc:subject>Impactos econômicos da inteligência artificial, blockchain, finanças descentralizadas e segurança pós-quântica</dc:subject>
  <dc:creator>Rafael Ribeiro</dc:creator>
  <cp:keywords>inteligência artificial, economia, blockchain, DeFi, computação quântica, criptografia pós-quântica</cp:keywords>
  <dc:description>generated by python-docx</dc:description>
  <cp:lastModifiedBy/>
  <cp:revision>1</cp:revision>
  <dcterms:created xsi:type="dcterms:W3CDTF">2013-12-23T23:15:00Z</dcterms:created>
  <dcterms:modified xsi:type="dcterms:W3CDTF">2013-12-23T23:15:00Z</dcterms:modified>
  <cp:category/>
</cp:coreProperties>
</file>