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cs="TH Sarabun New"/>
          <w:b/>
          <w:color w:val="1F4E78"/>
          <w:sz w:val="40"/>
        </w:rPr>
        <w:t>Center of Excellence</w:t>
      </w:r>
    </w:p>
    <w:p>
      <w:pPr>
        <w:spacing w:after="200"/>
        <w:jc w:val="center"/>
      </w:pPr>
      <w:r>
        <w:rPr>
          <w:rFonts w:ascii="TH Sarabun New" w:hAnsi="TH Sarabun New" w:cs="TH Sarabun New"/>
          <w:b/>
          <w:color w:val="1F4E78"/>
          <w:sz w:val="36"/>
        </w:rPr>
        <w:t>เพื่อเสนอภายใต้แผนยุทธศาสตร์ปัญญาประดิษฐ์ของประเทศไทย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(1) ชื่อโครงการ/แผนงาน</w:t>
      </w:r>
    </w:p>
    <w:p>
      <w:pPr>
        <w:spacing w:after="120"/>
      </w:pPr>
      <w:r>
        <w:rPr>
          <w:rFonts w:ascii="TH Sarabun New" w:hAnsi="TH Sarabun New" w:cs="TH Sarabun New"/>
          <w:b/>
          <w:sz w:val="30"/>
        </w:rPr>
        <w:t>ศูนย์ความเป็นเลิศด้านปัญญาประดิษฐ์เพื่อเศรษฐกิจสร้างสรรค์ (AI Center of Excellence for Creative Economy)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(2) ความสำคัญ/หลักการและเหตุผล</w:t>
      </w:r>
    </w:p>
    <w:p>
      <w:pPr>
        <w:spacing w:after="120"/>
      </w:pPr>
      <w:r>
        <w:rPr>
          <w:rFonts w:ascii="TH Sarabun New" w:hAnsi="TH Sarabun New" w:cs="TH Sarabun New"/>
          <w:b w:val="0"/>
          <w:sz w:val="30"/>
        </w:rPr>
        <w:t>ประเทศไทยกำลังก้าวสู่การประยุกต์ใช้ปัญญาประดิษฐ์อย่างเป็นระบบ โดยอุตสาหกรรมสร้างสรรค์ (ภาพยนตร์ แอนิเมชัน เกม เพลง คอนเทนต์ โฆษณา ออกแบบ) เป็นหนึ่งในเป้าหมายสำคัญที่ปัญญาประดิษฐ์สามารถเป็นตัวคูณผลิตภาพ ลดต้นทุนการผลิต เพิ่มความเร็ว และเปิดตลาดส่งออกได้ทันที ปัจจุบันเศรษฐกิจสร้างสรรค์คิดเป็นร้อยละ 8.78 ของผลิตภัณฑ์มวลรวมในประเทศ (รายงานสำนักงานส่งเสริมเศรษฐกิจสร้างสรรค์ (องค์การมหาชน) พฤษภาคม 2569) ซึ่งหากใส่ปัญญาประดิษฐ์เป็นตัวเร่ง คือการอัปเกรดทั้งฐาน มิใช่สร้างใหม่จากศูนย์</w:t>
      </w:r>
    </w:p>
    <w:p>
      <w:pPr>
        <w:spacing w:after="120"/>
      </w:pPr>
      <w:r>
        <w:rPr>
          <w:rFonts w:ascii="TH Sarabun New" w:hAnsi="TH Sarabun New" w:cs="TH Sarabun New"/>
          <w:b w:val="0"/>
          <w:sz w:val="30"/>
        </w:rPr>
        <w:t>อย่างไรก็ดี ระบบนิเวศปัญญาประดิษฐ์สำหรับงานสร้างสรรค์ไทยยังขาดกลไกที่เชื่อมทั้งวงจร ตั้งแต่ข้อมูล–การผลิต–การตรวจคุณภาพ–การรับรอง–ตลาด–การเทียบวัด แผนงานนี้จึงมุ่งจัดให้เกิดกลไกขับเคลื่อนระดับชาติที่ดำเนินงานในรูปเครือข่ายความร่วมมือ (mechanism &amp; network) โดยใช้ประโยชน์จากงบประมาณและโปรแกรมที่หน่วยงานรัฐมีอยู่เดิม (leverage/co-fund) และสนับสนุนแบบจ่ายเมื่อเกิดผล (pay-for-outcome) มิใช่การจัดตั้งศูนย์ อาคาร หรือสถาบันขึ้นใหม่ ทั้งนี้เพื่อสร้างความน่าเชื่อถือ คุ้มครองสิทธิผู้สร้างสรรค์ในยุคปัญญาประดิษฐ์ และผลักดันให้คอนเทนต์/เครื่องมือปัญญาประดิษฐ์ไทยเข้าสู่ตลาดทั้งในและต่างประเทศ สอดคล้องกับแผนปฏิบัติการพัฒนาระบบนิเวศปัญญาประดิษฐ์แห่งชาติ (ทั้งสี่ยุทธศาสตร์ IGNITE/GROW/GOVERN/EQUIP) และวางประเทศไทยสู่การเป็นศูนย์กลางเศรษฐกิจสร้างสรรค์ที่ขับเคลื่อนด้วยปัญญาประดิษฐ์ของอาเซียนอย่างยั่งยืน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(3) วัตถุประสงค์การจัดตั้ง Center of Excellence</w:t>
      </w:r>
    </w:p>
    <w:p>
      <w:pPr>
        <w:spacing w:after="120"/>
      </w:pPr>
      <w:r>
        <w:rPr>
          <w:rFonts w:ascii="TH Sarabun New" w:hAnsi="TH Sarabun New" w:cs="TH Sarabun New"/>
          <w:b w:val="0"/>
          <w:sz w:val="30"/>
        </w:rPr>
        <w:t>เพื่อให้ผู้ประกอบการและผู้สร้างสรรค์ไทยอย่างน้อย 5,000 ราย เข้าถึงและใช้ AI ในการผลิตได้จริง ลดต้นทุนการผลิตในสาขาเป้าหมายอย่างมีนัยสำคัญ และมีผลงาน/เครื่องมือ AI สร้างสรรค์ของไทยเข้าสู่ตลาดต่างประเทศได้ ภายในปี 2570</w:t>
      </w:r>
    </w:p>
    <w:p>
      <w:pPr>
        <w:spacing w:after="120"/>
      </w:pPr>
      <w:r>
        <w:rPr>
          <w:rFonts w:ascii="TH Sarabun New" w:hAnsi="TH Sarabun New" w:cs="TH Sarabun New"/>
          <w:b w:val="0"/>
          <w:sz w:val="30"/>
        </w:rPr>
        <w:t>โดยการขับเคลื่อนให้เกิดระบบนิเวศ AI เศรษฐกิจสร้างสรรค์ที่ครบวงจร (Creative AI Content Lifecycle) ครอบคลุม 6 มิติหลัก</w:t>
      </w:r>
    </w:p>
    <w:p>
      <w:pPr>
        <w:pStyle w:val="ListNumber"/>
        <w:spacing w:after="60"/>
        <w:ind w:left="567"/>
      </w:pPr>
      <w:r>
        <w:rPr>
          <w:rFonts w:ascii="TH Sarabun New" w:hAnsi="TH Sarabun New" w:cs="TH Sarabun New"/>
          <w:b/>
          <w:sz w:val="30"/>
        </w:rPr>
        <w:t>1. การบริหารจัดการข้อมูลและสิทธิ์งานสร้างสรรค์ (Creative Data &amp; Rights Management):</w:t>
      </w:r>
      <w:r>
        <w:rPr>
          <w:rFonts w:ascii="TH Sarabun New" w:hAnsi="TH Sarabun New" w:cs="TH Sarabun New"/>
          <w:sz w:val="30"/>
        </w:rPr>
        <w:t xml:space="preserve"> จัดให้มีคลังสิทธิ์งานสร้างสรรค์และบัญชีความยินยอม (consent ledger) ที่ลิขสิทธิ์ถูกต้อง ป้อนชุดข้อมูลสร้างสรรค์ไทยเข้าสู่โครงการโมเดลภาษาขนาดใหญ่ไทย (ThaiLLM) พร้อมกลไกจ่ายค่าตอบแทนคืนผู้สร้างสรรค์ (royalty) โดยใช้โครงสร้างพื้นฐานของสถาบันข้อมูลขนาดใหญ่ (องค์การมหาชน) และศูนย์เทคโนโลยีอิเล็กทรอนิกส์และคอมพิวเตอร์แห่งชาติ (เนคเทค) สำนักงานพัฒนาวิทยาศาสตร์และเทคโนโลยีแห่งชาติ ที่มีอยู่</w:t>
      </w:r>
    </w:p>
    <w:p>
      <w:pPr>
        <w:pStyle w:val="ListNumber"/>
        <w:spacing w:after="60"/>
        <w:ind w:left="567"/>
      </w:pPr>
      <w:r>
        <w:rPr>
          <w:rFonts w:ascii="TH Sarabun New" w:hAnsi="TH Sarabun New" w:cs="TH Sarabun New"/>
          <w:b/>
          <w:sz w:val="30"/>
        </w:rPr>
        <w:t>2. การผลิตด้วยปัญญาประดิษฐ์ (Creative AI Production):</w:t>
      </w:r>
      <w:r>
        <w:rPr>
          <w:rFonts w:ascii="TH Sarabun New" w:hAnsi="TH Sarabun New" w:cs="TH Sarabun New"/>
          <w:sz w:val="30"/>
        </w:rPr>
        <w:t xml:space="preserve"> สนับสนุนผู้ประกอบการ/ครีเอเตอร์ให้ใช้เครื่องมือปัญญาประดิษฐ์ลดต้นทุนและผลิตงานจริง ผ่านกลไกคูปอง/เครดิต (ใช้ประโยชน์จากโปรแกรมของสำนักงานส่งเสริมวิสาหกิจขนาดกลางและขนาดย่อม และสำนักงานส่งเสริมเศรษฐกิจดิจิทัล) และกลไกคืนเงินค่าผลิต (cash rebate) ร่วมกับสำนักงานคณะกรรมการส่งเสริมการลงทุน รวมถึงสายการผลิตพากย์/แปลคอนเทนต์ด้วยปัญญาประดิษฐ์</w:t>
      </w:r>
    </w:p>
    <w:p>
      <w:pPr>
        <w:pStyle w:val="ListNumber"/>
        <w:spacing w:after="60"/>
        <w:ind w:left="567"/>
      </w:pPr>
      <w:r>
        <w:rPr>
          <w:rFonts w:ascii="TH Sarabun New" w:hAnsi="TH Sarabun New" w:cs="TH Sarabun New"/>
          <w:b/>
          <w:sz w:val="30"/>
        </w:rPr>
        <w:t>3. การประเมินคุณภาพ (Creative AI Validation — Thai-LQM):</w:t>
      </w:r>
      <w:r>
        <w:rPr>
          <w:rFonts w:ascii="TH Sarabun New" w:hAnsi="TH Sarabun New" w:cs="TH Sarabun New"/>
          <w:sz w:val="30"/>
        </w:rPr>
        <w:t xml:space="preserve"> จัดให้มีตรารับรองคุณภาพและความถูกต้องเชิงภาษา-วัฒนธรรม สำหรับงานแปล/พากย์/ผลงานสร้างสรรค์ที่ใช้ปัญญาประดิษฐ์ โดยประสานสำนักงานราชบัณฑิตยสภาและสำนักงานพัฒนาธุรกรรมทางอิเล็กทรอนิกส์</w:t>
      </w:r>
    </w:p>
    <w:p>
      <w:pPr>
        <w:pStyle w:val="ListNumber"/>
        <w:spacing w:after="60"/>
        <w:ind w:left="567"/>
      </w:pPr>
      <w:r>
        <w:rPr>
          <w:rFonts w:ascii="TH Sarabun New" w:hAnsi="TH Sarabun New" w:cs="TH Sarabun New"/>
          <w:b/>
          <w:sz w:val="30"/>
        </w:rPr>
        <w:t>4. การรับรองที่มาและทรัพย์สินทางปัญญา (Provenance &amp; IP — Trusted Thai AI):</w:t>
      </w:r>
      <w:r>
        <w:rPr>
          <w:rFonts w:ascii="TH Sarabun New" w:hAnsi="TH Sarabun New" w:cs="TH Sarabun New"/>
          <w:sz w:val="30"/>
        </w:rPr>
        <w:t xml:space="preserve"> จัดให้มีระบบรับรองแหล่งที่มา (C2PA) ผ่านเกณฑ์กฎหมายปัญญาประดิษฐ์สหภาพยุโรป (EU AI Act) มาตรา 50 และทะเบียนทรัพย์สินทางปัญญา เพื่อให้คอนเทนต์ไทยผ่านด่านตลาดต่างประเทศ โดยประสานสำนักงานพัฒนาธุรกรรมทางอิเล็กทรอนิกส์ สำนักงานมาตรฐานผลิตภัณฑ์อุตสาหกรรม และกรมทรัพย์สินทางปัญญา</w:t>
      </w:r>
    </w:p>
    <w:p>
      <w:pPr>
        <w:pStyle w:val="ListNumber"/>
        <w:spacing w:after="60"/>
        <w:ind w:left="567"/>
      </w:pPr>
      <w:r>
        <w:rPr>
          <w:rFonts w:ascii="TH Sarabun New" w:hAnsi="TH Sarabun New" w:cs="TH Sarabun New"/>
          <w:b/>
          <w:sz w:val="30"/>
        </w:rPr>
        <w:t>5. การขยายผลสู่ตลาดและเชิงพาณิชย์ (Market &amp; Commercialization):</w:t>
      </w:r>
      <w:r>
        <w:rPr>
          <w:rFonts w:ascii="TH Sarabun New" w:hAnsi="TH Sarabun New" w:cs="TH Sarabun New"/>
          <w:sz w:val="30"/>
        </w:rPr>
        <w:t xml:space="preserve"> ผลักดันผลงาน/เครื่องมือ/ทรัพย์สินทางปัญญาสร้างสรรค์ของไทยเข้าสู่ตลาดและการส่งออก ผ่านกลไกของกรมส่งเสริมการค้าระหว่างประเทศ สำนักงานคณะกรรมการส่งเสริมการลงทุน และธนาคารเพื่อการส่งออกและนำเข้าแห่งประเทศไทย รวมถึงเวทีจับคู่ธุรกิจ เกม/อีสปอร์ต และการรับจ้างผลิต (service export)</w:t>
      </w:r>
    </w:p>
    <w:p>
      <w:pPr>
        <w:pStyle w:val="ListNumber"/>
        <w:spacing w:after="60"/>
        <w:ind w:left="567"/>
      </w:pPr>
      <w:r>
        <w:rPr>
          <w:rFonts w:ascii="TH Sarabun New" w:hAnsi="TH Sarabun New" w:cs="TH Sarabun New"/>
          <w:b/>
          <w:sz w:val="30"/>
        </w:rPr>
        <w:t>6. มาตรฐานและการเทียบวัด (Creative AI Benchmark):</w:t>
      </w:r>
      <w:r>
        <w:rPr>
          <w:rFonts w:ascii="TH Sarabun New" w:hAnsi="TH Sarabun New" w:cs="TH Sarabun New"/>
          <w:sz w:val="30"/>
        </w:rPr>
        <w:t xml:space="preserve"> จัดทำชุดทดสอบและมาตรฐานคุณภาพงานสร้างสรรค์ปัญญาประดิษฐ์ ภาษา/วัฒนธรรมไทย เพื่อเป็นมาตรฐานอ้างอิงระดับชาติและภูมิภาค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(4) กลุ่มเป้าหมายและพื้นที่ที่ดำเนินการ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ผู้ประกอบการ/วิสาหกิจสร้างสรรค์: สตูดิโอภาพยนตร์/แอนิเมชัน/VFX สตูดิโอเกม ค่ายเพลง เอเจนซีโฆษณา นักออกแบบ และวิสาหกิจขนาดกลางและขนาดย่อม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ผู้พัฒนาเทคโนโลยีสร้างสรรค์ (CreativeTech): สตาร์ทอัพและผู้พัฒนาเครื่องมือ AI สำหรับงานสร้างสรรค์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ผู้สร้างสรรค์/บุคลากร และเศรษฐกิจฐานราก: ครีเอเตอร์ ฟรีแลนซ์ บุคลากรในอุตสาหกรรม และผู้ประกอบการชุมชน (OTOP/วิสาหกิจชุมชน)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(5) หน่วยงานที่เกี่ยวข้อง/หน่วยงานที่ร่วมดำเนินงาน ในช่วง 2 ปีแรก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สมาคมสร้างสรรค์ปัญญาประดิษฐ์ไทย (AICAT) — ผู้ประสานหลัก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สำนักงานส่งเสริมเศรษฐกิจสร้างสรรค์ (องค์การมหาชน) · สำนักงานส่งเสริมเศรษฐกิจดิจิทัล · สำนักงานนวัตกรรมแห่งชาติ (องค์การมหาชน) · สถาบันข้อมูลขนาดใหญ่ (องค์การมหาชน) · ศูนย์เทคโนโลยีอิเล็กทรอนิกส์และคอมพิวเตอร์แห่งชาติ (เนคเทค) / สำนักงานพัฒนาวิทยาศาสตร์และเทคโนโลยีแห่งชาติ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กรมส่งเสริมการค้าระหว่างประเทศ กระทรวงพาณิชย์ · สำนักงานส่งเสริมวิสาหกิจขนาดกลางและขนาดย่อม · สำนักงานคณะกรรมการส่งเสริมการลงทุน · ธนาคารเพื่อการส่งออกและนำเข้าแห่งประเทศไทย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สำนักงานพัฒนาธุรกรรมทางอิเล็กทรอนิกส์ · สำนักงานมาตรฐานผลิตภัณฑ์อุตสาหกรรม · กรมทรัพย์สินทางปัญญา กระทรวงพาณิชย์ · สำนักงานราชบัณฑิตยสภา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สมาคมวิชาชีพ/ภาคเอกชน: สมาคมผู้ประกอบการแอนิเมชันและคอมพิวเตอร์กราฟิกไทย (TACGA) · สมาคมโฆษณาดิจิทัล (ประเทศไทย) (DAAT) · สมาคมผู้กำกับภาพยนตร์ไทย · สมาคมคอนเทนต์ครีเอเตอร์ไทย · สมาคมเทคโนโลยีการตลาดแห่งประเทศไทย (MarTech) · สมาคมไทยไอโอที (Thai IoT) · สมาคมผู้ใช้ดิจิทัลไทย (DUGA) · สมาคมสมาพันธ์โอเพนซอร์สแห่งประเทศไทย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แหล่งทุนที่ร่วม leverage: กองทุนพัฒนาสื่อปลอดภัยและสร้างสรรค์ · กองทุนพัฒนาดิจิทัลเพื่อเศรษฐกิจและสังคม · กองทุนส่งเสริมวิทยาศาสตร์ วิจัยและนวัตกรรม (ววน.) โดยหน่วยบริหารและจัดการทุนด้านการเพิ่มความสามารถในการแข่งขันของประเทศ (บพข.) · กองทุนวิจัยและพัฒนากิจการกระจายเสียง กิจการโทรทัศน์ และกิจการโทรคมนาคม เพื่อประโยชน์สาธารณะ (กทปส.)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(6) งบประมาณโครงการในช่วง 2 ปีแรก — งบประมาณรวม 360 ล้านบาท</w:t>
      </w:r>
    </w:p>
    <w:p>
      <w:pPr>
        <w:spacing w:after="120"/>
      </w:pPr>
      <w:r>
        <w:rPr>
          <w:rFonts w:ascii="TH Sarabun New" w:hAnsi="TH Sarabun New" w:cs="TH Sarabun New"/>
          <w:b w:val="0"/>
          <w:sz w:val="26"/>
        </w:rPr>
        <w:t>(ตั้งไว้ระดับนำร่อง — ปรับได้ เทียบ CoE สุขภาพ 500 ลบ./2 ปี · งบ COE ก้อนนี้ leverage งบหน่วยงานเดิมและเอกชนอีกหลายเท่า)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กิจกรรม (โปรแกรมหลัก)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ปีที่ 1 (ลบ.)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ปีที่ 2 (ลบ.)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Creative Data &amp; Rights Management (คลังสิทธิ์+corpus→ThaiLLM+royalty)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Creative AI Production (voucher/credit + cash rebate + dub-thai)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55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55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Creative AI Validation — Thai-LQM (ตรารับรองคุณภาพ-วัฒนธรรม)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Provenance &amp; IP — Trusted Thai AI (C2PA + EU AI Act ม.50 + ทะเบียน IP)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Market &amp; Commercialization (export/licensing/matching/game-esports)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Creative AI Benchmark (มาตรฐานคุณภาพงานสร้างสรรค์ AI)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sz w:val="28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รวม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180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180</w:t>
            </w:r>
          </w:p>
        </w:tc>
      </w:tr>
    </w:tbl>
    <w:p>
      <w:pPr>
        <w:spacing w:after="60"/>
      </w:pPr>
      <w:r>
        <w:rPr>
          <w:rFonts w:ascii="TH Sarabun New" w:hAnsi="TH Sarabun New" w:cs="TH Sarabun New"/>
          <w:b/>
          <w:sz w:val="30"/>
        </w:rPr>
        <w:t>(7) ผลผลิต (Output) ภายใน 2 ปี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ผู้ประกอบการ/ครีเอเตอร์ใช้เครื่องมือ AI ในการผลิตได้จริงอย่างน้อย 5,000 ราย และมีข้อมูลฐานต้นทุนการผลิตเทียบก่อน-หลัง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คลังสิทธิ์งานสร้างสรรค์ + ชุดข้อมูล (corpus) ลิขสิทธิ์สะอาด เปิดให้ใช้งานและป้อนเข้า ThaiLLM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ตรารับรองคุณภาพ (Thai-LQM) และตรารับรองที่มา (Trusted Thai AI) ที่ใช้งานจริง ผ่านเกณฑ์ตลาดต่างประเทศ (EU AI Act ม.50)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ผลงาน/เครื่องมือ/IP สร้างสรรค์ของไทยที่เข้าสู่ตลาดและส่งออก พร้อมมูลค่าดีลที่วัดได้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(8) ผลกระทบ/ประโยชน์ที่คาดว่าจะได้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ร่วมขับเคลื่อนสัดส่วนเศรษฐกิจสร้างสรรค์ใน GDP จากร้อยละ 8.78 สู่ร้อยละ 12 (วิสัยทัศน์ระดับชาติ — มิใช่ตัวชี้วัดผูกพันรายโครงการ)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ต้นทุนการผลิตคอนเทนต์ในสาขาเป้าหมายลดลงประมาณร้อยละ 30 (วัดด้วย Cost Index)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ผู้สร้างสรรค์ไทยได้รับความคุ้มครองลิขสิทธิ์ในยุค AI และมีรายได้จากการใช้ข้อมูล (royalty)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ดึงเม็ดเงินการผลิต/การส่งออก และการจ้างงานทักษะสูงเข้าประเทศ ผ่านกลไกจ่ายเมื่อเกิดผล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sz w:val="30"/>
        </w:rPr>
        <w:t>ยกระดับขีดความสามารถผู้ประกอบการไทยและอุตสาหกรรม CreativeTech สู่การเป็นศูนย์กลางอาเซียน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(9) กลไกการดำเนินงานและการกำกับ</w:t>
      </w:r>
    </w:p>
    <w:p>
      <w:pPr>
        <w:spacing w:after="120"/>
      </w:pPr>
      <w:r>
        <w:rPr>
          <w:rFonts w:ascii="TH Sarabun New" w:hAnsi="TH Sarabun New" w:cs="TH Sarabun New"/>
          <w:b w:val="0"/>
          <w:sz w:val="30"/>
        </w:rPr>
        <w:t>ดำเนินงานในรูปคณะทำงาน + คณะอนุทำงาน + สำนักงานเลขานุการ/PMO (เครือข่ายเสมือน ไม่ใช่หน่วยงาน/อาคารใหม่) โดย AICAT เป็นผู้ประสาน ใช้กลไกสนับสนุนแบบ co-pay/matching/rebate/first-loss/pay-for-outcome บนงบและโปรแกรมที่หน่วยงานเจ้าภาพมีอยู่ ติดตามและรายงานผลต่อคณะอนุกรรมการขับเคลื่อนแผนด้าน AI แห่งชาติเป็นระยะ โดยวัดผลเป็นมูลค่าทางการเงิน จำนวนดีล/สัญญา จำนวนราย และจำนวนชิ้นงาน</w:t>
      </w:r>
    </w:p>
    <w:p>
      <w:pPr>
        <w:spacing w:after="60"/>
      </w:pPr>
      <w:r>
        <w:rPr>
          <w:rFonts w:ascii="TH Sarabun New" w:hAnsi="TH Sarabun New" w:cs="TH Sarabun New"/>
          <w:b/>
          <w:sz w:val="30"/>
        </w:rPr>
        <w:t>(10) แผนกิจกรรมในช่วง 2 ปีแรก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กิจกรรม (โปรแกรมหลัก)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ปีที่ 1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8"/>
              </w:rPr>
              <w:t>ปีที่ 2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sz w:val="28"/>
              </w:rPr>
              <w:t>1. Creative Data &amp; Rights Management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sz w:val="28"/>
              </w:rPr>
              <w:t>2. Creative AI Production (voucher/rebate/dub-thai)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sz w:val="28"/>
              </w:rPr>
              <w:t>3. Creative AI Validation — Thai-LQM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sz w:val="28"/>
              </w:rPr>
              <w:t>4. Provenance &amp; IP — Trusted Thai 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sz w:val="28"/>
              </w:rPr>
              <w:t>5. Market &amp; Commercialization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sz w:val="28"/>
              </w:rPr>
              <w:t>6. Creative AI Benchmark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 w:cs="TH Sarabun New"/>
                <w:sz w:val="28"/>
              </w:rPr>
              <w:t>✔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b w:val="0"/>
          <w:sz w:val="30"/>
        </w:rPr>
      </w:r>
    </w:p>
    <w:p>
      <w:pPr>
        <w:spacing w:after="120"/>
        <w:jc w:val="center"/>
      </w:pPr>
      <w:r>
        <w:rPr>
          <w:rFonts w:ascii="TH Sarabun New" w:hAnsi="TH Sarabun New" w:cs="TH Sarabun New"/>
          <w:b w:val="0"/>
          <w:color w:val="1F4E78"/>
          <w:sz w:val="26"/>
        </w:rPr>
        <w:t>จัดทำโดย สมาคมสร้างสรรค์ปัญญาประดิษฐ์ไทย (AICAT) ในฐานะผู้ประสานคณะทำงานฯ · มิถุนายน 2569 · ฉบับร่างเพื่อทบทวน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