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H Sarabun New" w:hAnsi="TH Sarabun New" w:cs="TH Sarabun New"/>
          <w:b/>
          <w:color w:val="1F4E78"/>
          <w:sz w:val="40"/>
        </w:rPr>
        <w:t>Center of Excellence</w:t>
      </w:r>
    </w:p>
    <w:p>
      <w:pPr>
        <w:spacing w:after="200"/>
        <w:jc w:val="center"/>
      </w:pPr>
      <w:r>
        <w:rPr>
          <w:rFonts w:ascii="TH Sarabun New" w:hAnsi="TH Sarabun New" w:cs="TH Sarabun New"/>
          <w:b/>
          <w:color w:val="1F4E78"/>
          <w:sz w:val="36"/>
        </w:rPr>
        <w:t>เพื่อเสนอภายใต้แผนยุทธศาสตร์ปัญญาประดิษฐ์ของประเทศไทย</w:t>
      </w:r>
    </w:p>
    <w:p>
      <w:pPr>
        <w:spacing w:after="60"/>
      </w:pPr>
      <w:r>
        <w:rPr>
          <w:rFonts w:ascii="TH Sarabun New" w:hAnsi="TH Sarabun New" w:cs="TH Sarabun New"/>
          <w:b/>
          <w:sz w:val="30"/>
        </w:rPr>
        <w:t>(1) ชื่อโครงการ/แผนงาน</w:t>
      </w:r>
    </w:p>
    <w:p>
      <w:pPr>
        <w:spacing w:after="120"/>
      </w:pPr>
      <w:r>
        <w:rPr>
          <w:rFonts w:ascii="TH Sarabun New" w:hAnsi="TH Sarabun New" w:cs="TH Sarabun New"/>
          <w:b/>
          <w:sz w:val="30"/>
        </w:rPr>
        <w:t>ศูนย์ความเป็นเลิศด้านปัญญาประดิษฐ์เพื่อเศรษฐกิจสร้างสรรค์ (AI Center of Excellence for Creative Economy)</w:t>
      </w:r>
    </w:p>
    <w:p>
      <w:pPr>
        <w:spacing w:after="60"/>
      </w:pPr>
      <w:r>
        <w:rPr>
          <w:rFonts w:ascii="TH Sarabun New" w:hAnsi="TH Sarabun New" w:cs="TH Sarabun New"/>
          <w:b/>
          <w:sz w:val="30"/>
        </w:rPr>
        <w:t>(2) ความสำคัญ/หลักการและเหตุผล</w:t>
      </w:r>
    </w:p>
    <w:p>
      <w:pPr>
        <w:spacing w:after="120"/>
      </w:pPr>
      <w:r>
        <w:rPr>
          <w:rFonts w:ascii="TH Sarabun New" w:hAnsi="TH Sarabun New" w:cs="TH Sarabun New"/>
          <w:b w:val="0"/>
          <w:sz w:val="30"/>
        </w:rPr>
        <w:t>ประเทศไทยกำลังก้าวสู่การประยุกต์ใช้ AI อย่างเป็นระบบ โดยอุตสาหกรรมสร้างสรรค์ (ภาพยนตร์ แอนิเมชัน เกม เพลง คอนเทนต์ โฆษณา ออกแบบ) เป็นหนึ่งในเป้าหมายสำคัญที่ AI สามารถเป็นตัวคูณผลิตภาพ ลดต้นทุนการผลิต เพิ่มความเร็ว และเปิดตลาดส่งออกได้ทันที ปัจจุบันเศรษฐกิจสร้างสรรค์คิดเป็นร้อยละ 8.78 ของ GDP (รายงาน CEA พฤษภาคม 2569) ซึ่งหากใส่ AI เป็นตัวเร่ง คือการอัปเกรดทั้งฐาน มิใช่สร้างใหม่จากศูนย์</w:t>
      </w:r>
    </w:p>
    <w:p>
      <w:pPr>
        <w:spacing w:after="120"/>
      </w:pPr>
      <w:r>
        <w:rPr>
          <w:rFonts w:ascii="TH Sarabun New" w:hAnsi="TH Sarabun New" w:cs="TH Sarabun New"/>
          <w:b w:val="0"/>
          <w:sz w:val="30"/>
        </w:rPr>
        <w:t>อย่างไรก็ดี ระบบนิเวศ AI สำหรับงานสร้างสรรค์ไทยยังขาดกลไกที่เชื่อมทั้งวงจร ตั้งแต่ข้อมูล–การผลิต–การตรวจคุณภาพ–การรับรอง–ตลาด–การเทียบวัด แผนงานนี้จึงมุ่งจัดให้เกิดกลไกขับเคลื่อนระดับชาติที่ดำเนินงานในรูปเครือข่ายความร่วมมือ (mechanism &amp; network) โดยใช้ประโยชน์จากงบประมาณและโปรแกรมที่หน่วยงานรัฐมีอยู่เดิม (leverage/co-fund) และสนับสนุนแบบจ่ายเมื่อเกิดผล (pay-for-outcome) มิใช่การจัดตั้งศูนย์ อาคาร หรือสถาบันขึ้นใหม่ ทั้งนี้เพื่อสร้างความน่าเชื่อถือ คุ้มครองสิทธิผู้สร้างสรรค์ในยุค AI และผลักดันให้คอนเทนต์/เครื่องมือ AI ไทยเข้าสู่ตลาดทั้งในและต่างประเทศ สอดคล้องกับแผนปฏิบัติการพัฒนาระบบนิเวศปัญญาประดิษฐ์แห่งชาติ (ทั้งสี่ยุทธศาสตร์ IGNITE/GROW/GOVERN/EQUIP) และวางไทยสู่การเป็นศูนย์กลางเศรษฐกิจสร้างสรรค์ที่ขับเคลื่อนด้วย AI ของอาเซียนอย่างยั่งยืน</w:t>
      </w:r>
    </w:p>
    <w:p>
      <w:pPr>
        <w:spacing w:after="60"/>
      </w:pPr>
      <w:r>
        <w:rPr>
          <w:rFonts w:ascii="TH Sarabun New" w:hAnsi="TH Sarabun New" w:cs="TH Sarabun New"/>
          <w:b/>
          <w:sz w:val="30"/>
        </w:rPr>
        <w:t>(3) วัตถุประสงค์การจัดตั้ง Center of Excellence</w:t>
      </w:r>
    </w:p>
    <w:p>
      <w:pPr>
        <w:spacing w:after="120"/>
      </w:pPr>
      <w:r>
        <w:rPr>
          <w:rFonts w:ascii="TH Sarabun New" w:hAnsi="TH Sarabun New" w:cs="TH Sarabun New"/>
          <w:b w:val="0"/>
          <w:sz w:val="30"/>
        </w:rPr>
        <w:t>เพื่อให้ผู้ประกอบการและผู้สร้างสรรค์ไทยอย่างน้อย 5,000 ราย เข้าถึงและใช้ AI ในการผลิตได้จริง ลดต้นทุนการผลิตในสาขาเป้าหมายอย่างมีนัยสำคัญ และมีผลงาน/เครื่องมือ AI สร้างสรรค์ของไทยเข้าสู่ตลาดต่างประเทศได้ ภายในปี 2570</w:t>
      </w:r>
    </w:p>
    <w:p>
      <w:pPr>
        <w:spacing w:after="120"/>
      </w:pPr>
      <w:r>
        <w:rPr>
          <w:rFonts w:ascii="TH Sarabun New" w:hAnsi="TH Sarabun New" w:cs="TH Sarabun New"/>
          <w:b w:val="0"/>
          <w:sz w:val="30"/>
        </w:rPr>
        <w:t>โดยการขับเคลื่อนให้เกิดระบบนิเวศ AI เศรษฐกิจสร้างสรรค์ที่ครบวงจร (Creative AI Content Lifecycle) ครอบคลุม 6 มิติหลัก</w:t>
      </w:r>
    </w:p>
    <w:p>
      <w:pPr>
        <w:pStyle w:val="ListNumber"/>
        <w:spacing w:after="60"/>
        <w:ind w:left="567"/>
      </w:pPr>
      <w:r>
        <w:rPr>
          <w:rFonts w:ascii="TH Sarabun New" w:hAnsi="TH Sarabun New" w:cs="TH Sarabun New"/>
          <w:b/>
          <w:sz w:val="30"/>
        </w:rPr>
        <w:t>1. การบริหารจัดการข้อมูลและสิทธิ์งานสร้างสรรค์ (Creative Data &amp; Rights Management):</w:t>
      </w:r>
      <w:r>
        <w:rPr>
          <w:rFonts w:ascii="TH Sarabun New" w:hAnsi="TH Sarabun New" w:cs="TH Sarabun New"/>
          <w:sz w:val="30"/>
        </w:rPr>
        <w:t xml:space="preserve"> จัดให้มีคลังสิทธิ์งานสร้างสรรค์และบัญชีความยินยอม (consent ledger) ที่ลิขสิทธิ์ถูกต้อง ป้อนชุดข้อมูลสร้างสรรค์ไทยเข้าสู่ ThaiLLM พร้อมกลไกจ่ายค่าตอบแทนคืนผู้สร้างสรรค์ (royalty) โดยใช้โครงสร้างพื้นฐานของ BDI/NECTEC ที่มีอยู่</w:t>
      </w:r>
    </w:p>
    <w:p>
      <w:pPr>
        <w:pStyle w:val="ListNumber"/>
        <w:spacing w:after="60"/>
        <w:ind w:left="567"/>
      </w:pPr>
      <w:r>
        <w:rPr>
          <w:rFonts w:ascii="TH Sarabun New" w:hAnsi="TH Sarabun New" w:cs="TH Sarabun New"/>
          <w:b/>
          <w:sz w:val="30"/>
        </w:rPr>
        <w:t>2. การผลิตด้วยปัญญาประดิษฐ์ (Creative AI Production):</w:t>
      </w:r>
      <w:r>
        <w:rPr>
          <w:rFonts w:ascii="TH Sarabun New" w:hAnsi="TH Sarabun New" w:cs="TH Sarabun New"/>
          <w:sz w:val="30"/>
        </w:rPr>
        <w:t xml:space="preserve"> สนับสนุนผู้ประกอบการ/ครีเอเตอร์ให้ใช้เครื่องมือ AI ลดต้นทุนและผลิตงานจริง ผ่านกลไกคูปอง/เครดิต (leverage สสว. BDS, depa) และกลไกคืนเงินค่าผลิต (cash rebate ร่วม BOI) รวมถึงสายการผลิตพากย์/แปลคอนเทนต์ด้วย AI</w:t>
      </w:r>
    </w:p>
    <w:p>
      <w:pPr>
        <w:pStyle w:val="ListNumber"/>
        <w:spacing w:after="60"/>
        <w:ind w:left="567"/>
      </w:pPr>
      <w:r>
        <w:rPr>
          <w:rFonts w:ascii="TH Sarabun New" w:hAnsi="TH Sarabun New" w:cs="TH Sarabun New"/>
          <w:b/>
          <w:sz w:val="30"/>
        </w:rPr>
        <w:t>3. การประเมินคุณภาพ (Creative AI Validation — Thai-LQM):</w:t>
      </w:r>
      <w:r>
        <w:rPr>
          <w:rFonts w:ascii="TH Sarabun New" w:hAnsi="TH Sarabun New" w:cs="TH Sarabun New"/>
          <w:sz w:val="30"/>
        </w:rPr>
        <w:t xml:space="preserve"> จัดให้มีตรารับรองคุณภาพและความถูกต้องเชิงภาษา-วัฒนธรรม สำหรับงานแปล/พากย์/ผลงานสร้างสรรค์ที่ใช้ AI โดยประสานราชบัณฑิตยสภาและ ETDA</w:t>
      </w:r>
    </w:p>
    <w:p>
      <w:pPr>
        <w:pStyle w:val="ListNumber"/>
        <w:spacing w:after="60"/>
        <w:ind w:left="567"/>
      </w:pPr>
      <w:r>
        <w:rPr>
          <w:rFonts w:ascii="TH Sarabun New" w:hAnsi="TH Sarabun New" w:cs="TH Sarabun New"/>
          <w:b/>
          <w:sz w:val="30"/>
        </w:rPr>
        <w:t>4. การรับรองที่มาและทรัพย์สินทางปัญญา (Provenance &amp; IP — Trusted Thai AI):</w:t>
      </w:r>
      <w:r>
        <w:rPr>
          <w:rFonts w:ascii="TH Sarabun New" w:hAnsi="TH Sarabun New" w:cs="TH Sarabun New"/>
          <w:sz w:val="30"/>
        </w:rPr>
        <w:t xml:space="preserve"> จัดให้มีระบบรับรองแหล่งที่มา (C2PA) ผ่านเกณฑ์ EU AI Act มาตรา 50 และทะเบียนทรัพย์สินทางปัญญา เพื่อให้คอนเทนต์ไทยผ่านด่านตลาดต่างประเทศ โดยประสาน ETDA สมอ. และกรมทรัพย์สินทางปัญญา</w:t>
      </w:r>
    </w:p>
    <w:p>
      <w:pPr>
        <w:pStyle w:val="ListNumber"/>
        <w:spacing w:after="60"/>
        <w:ind w:left="567"/>
      </w:pPr>
      <w:r>
        <w:rPr>
          <w:rFonts w:ascii="TH Sarabun New" w:hAnsi="TH Sarabun New" w:cs="TH Sarabun New"/>
          <w:b/>
          <w:sz w:val="30"/>
        </w:rPr>
        <w:t>5. การขยายผลสู่ตลาดและเชิงพาณิชย์ (Market &amp; Commercialization):</w:t>
      </w:r>
      <w:r>
        <w:rPr>
          <w:rFonts w:ascii="TH Sarabun New" w:hAnsi="TH Sarabun New" w:cs="TH Sarabun New"/>
          <w:sz w:val="30"/>
        </w:rPr>
        <w:t xml:space="preserve"> ผลักดันผลงาน/เครื่องมือ/IP สร้างสรรค์ของไทยเข้าสู่ตลาดและการส่งออก ผ่านกลไกของ DITP, BOI, EXIM และเวทีจับคู่ธุรกิจ รวมถึงเกม/อีสปอร์ตและการรับจ้างผลิต (service export)</w:t>
      </w:r>
    </w:p>
    <w:p>
      <w:pPr>
        <w:pStyle w:val="ListNumber"/>
        <w:spacing w:after="60"/>
        <w:ind w:left="567"/>
      </w:pPr>
      <w:r>
        <w:rPr>
          <w:rFonts w:ascii="TH Sarabun New" w:hAnsi="TH Sarabun New" w:cs="TH Sarabun New"/>
          <w:b/>
          <w:sz w:val="30"/>
        </w:rPr>
        <w:t>6. มาตรฐานและการเทียบวัด (Creative AI Benchmark):</w:t>
      </w:r>
      <w:r>
        <w:rPr>
          <w:rFonts w:ascii="TH Sarabun New" w:hAnsi="TH Sarabun New" w:cs="TH Sarabun New"/>
          <w:sz w:val="30"/>
        </w:rPr>
        <w:t xml:space="preserve"> จัดทำชุดทดสอบและมาตรฐานคุณภาพงานสร้างสรรค์ AI ภาษา/วัฒนธรรมไทย เพื่อเป็นมาตรฐานอ้างอิงระดับชาติและภูมิภาค</w:t>
      </w:r>
    </w:p>
    <w:p>
      <w:pPr>
        <w:spacing w:after="60"/>
      </w:pPr>
      <w:r>
        <w:rPr>
          <w:rFonts w:ascii="TH Sarabun New" w:hAnsi="TH Sarabun New" w:cs="TH Sarabun New"/>
          <w:b/>
          <w:sz w:val="30"/>
        </w:rPr>
        <w:t>(4) กลุ่มเป้าหมายและพื้นที่ที่ดำเนินการ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sz w:val="30"/>
        </w:rPr>
        <w:t>ผู้ประกอบการ/วิสาหกิจสร้างสรรค์: สตูดิโอภาพยนตร์/แอนิเมชัน/VFX สตูดิโอเกม ค่ายเพลง เอเจนซีโฆษณา นักออกแบบ และวิสาหกิจขนาดกลางและขนาดย่อม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sz w:val="30"/>
        </w:rPr>
        <w:t>ผู้พัฒนาเทคโนโลยีสร้างสรรค์ (CreativeTech): สตาร์ทอัพและผู้พัฒนาเครื่องมือ AI สำหรับงานสร้างสรรค์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sz w:val="30"/>
        </w:rPr>
        <w:t>ผู้สร้างสรรค์/บุคลากร และเศรษฐกิจฐานราก: ครีเอเตอร์ ฟรีแลนซ์ บุคลากรในอุตสาหกรรม และผู้ประกอบการชุมชน (OTOP/วิสาหกิจชุมชน)</w:t>
      </w:r>
    </w:p>
    <w:p>
      <w:pPr>
        <w:spacing w:after="60"/>
      </w:pPr>
      <w:r>
        <w:rPr>
          <w:rFonts w:ascii="TH Sarabun New" w:hAnsi="TH Sarabun New" w:cs="TH Sarabun New"/>
          <w:b/>
          <w:sz w:val="30"/>
        </w:rPr>
        <w:t>(5) หน่วยงานที่เกี่ยวข้อง/หน่วยงานที่ร่วมดำเนินงาน ในช่วง 2 ปีแรก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sz w:val="30"/>
        </w:rPr>
        <w:t>สมาคมสร้างสรรค์ปัญญาประดิษฐ์ไทย (AICAT) — ผู้ประสานหลัก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sz w:val="30"/>
        </w:rPr>
        <w:t>CEA · depa · NIA · BDI · NECTEC / สวทช.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sz w:val="30"/>
        </w:rPr>
        <w:t>DITP · สสว. · BOI · EXIM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sz w:val="30"/>
        </w:rPr>
        <w:t>ETDA · สมอ. · กรมทรัพย์สินทางปัญญา · สำนักงานราชบัณฑิตยสภา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sz w:val="30"/>
        </w:rPr>
        <w:t>สมาคมวิชาชีพ: TACGA · DAAT · สมาคมผู้กำกับภาพยนตร์ไทย · สมาคมคอนเทนต์ครีเอเตอร์ไทย · MarTech · Thai IoT · DUGA · สมาคมสมาพันธ์โอเพนซอร์สแห่งประเทศไทย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sz w:val="30"/>
        </w:rPr>
        <w:t>แหล่งทุนที่ร่วม leverage: กองทุนพัฒนาสื่อปลอดภัยและสร้างสรรค์ · กองทุนพัฒนาดิจิทัลฯ (DE Fund) · กองทุน ววน./บพข. · กองทุน กทปส.</w:t>
      </w:r>
    </w:p>
    <w:p>
      <w:pPr>
        <w:spacing w:after="60"/>
      </w:pPr>
      <w:r>
        <w:rPr>
          <w:rFonts w:ascii="TH Sarabun New" w:hAnsi="TH Sarabun New" w:cs="TH Sarabun New"/>
          <w:b/>
          <w:sz w:val="30"/>
        </w:rPr>
        <w:t>(6) งบประมาณโครงการในช่วง 2 ปีแรก — งบประมาณรวม 360 ล้านบาท</w:t>
      </w:r>
    </w:p>
    <w:p>
      <w:pPr>
        <w:spacing w:after="120"/>
      </w:pPr>
      <w:r>
        <w:rPr>
          <w:rFonts w:ascii="TH Sarabun New" w:hAnsi="TH Sarabun New" w:cs="TH Sarabun New"/>
          <w:b w:val="0"/>
          <w:sz w:val="26"/>
        </w:rPr>
        <w:t>(ตั้งไว้ระดับนำร่อง — ปรับได้ เทียบ CoE สุขภาพ 500 ลบ./2 ปี · งบ COE ก้อนนี้ leverage งบหน่วยงานเดิมและเอกชนอีกหลายเท่า)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กิจกรรม (โปรแกรมหลัก)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ปีที่ 1 (ลบ.)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ปีที่ 2 (ลบ.)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sz w:val="2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sz w:val="28"/>
              </w:rPr>
              <w:t>Creative Data &amp; Rights Management (คลังสิทธิ์+corpus→ThaiLLM+royalty)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sz w:val="28"/>
              </w:rPr>
              <w:t>40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sz w:val="28"/>
              </w:rPr>
              <w:t>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sz w:val="2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sz w:val="28"/>
              </w:rPr>
              <w:t>Creative AI Production (voucher/credit + cash rebate + dub-thai)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sz w:val="28"/>
              </w:rPr>
              <w:t>55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sz w:val="28"/>
              </w:rPr>
              <w:t>55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sz w:val="2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sz w:val="28"/>
              </w:rPr>
              <w:t>Creative AI Validation — Thai-LQM (ตรารับรองคุณภาพ-วัฒนธรรม)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sz w:val="28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sz w:val="28"/>
              </w:rPr>
              <w:t>15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sz w:val="2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sz w:val="28"/>
              </w:rPr>
              <w:t>Provenance &amp; IP — Trusted Thai AI (C2PA + EU AI Act ม.50 + ทะเบียน IP)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sz w:val="28"/>
              </w:rPr>
              <w:t>35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sz w:val="28"/>
              </w:rPr>
              <w:t>35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sz w:val="2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sz w:val="28"/>
              </w:rPr>
              <w:t>Market &amp; Commercialization (export/licensing/matching/game-esports)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sz w:val="28"/>
              </w:rPr>
              <w:t>25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sz w:val="28"/>
              </w:rPr>
              <w:t>25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sz w:val="2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sz w:val="28"/>
              </w:rPr>
              <w:t>Creative AI Benchmark (มาตรฐานคุณภาพงานสร้างสรรค์ AI)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sz w:val="28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sz w:val="28"/>
              </w:rPr>
              <w:t>10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รวม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180</w:t>
            </w:r>
          </w:p>
        </w:tc>
        <w:tc>
          <w:tcPr>
            <w:tcW w:type="dxa" w:w="216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180</w:t>
            </w:r>
          </w:p>
        </w:tc>
      </w:tr>
    </w:tbl>
    <w:p>
      <w:pPr>
        <w:spacing w:after="60"/>
      </w:pPr>
      <w:r>
        <w:rPr>
          <w:rFonts w:ascii="TH Sarabun New" w:hAnsi="TH Sarabun New" w:cs="TH Sarabun New"/>
          <w:b/>
          <w:sz w:val="30"/>
        </w:rPr>
        <w:t>(7) ผลผลิต (Output) ภายใน 2 ปี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sz w:val="30"/>
        </w:rPr>
        <w:t>ผู้ประกอบการ/ครีเอเตอร์ใช้เครื่องมือ AI ในการผลิตได้จริงอย่างน้อย 5,000 ราย และมีข้อมูลฐานต้นทุนการผลิตเทียบก่อน-หลัง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sz w:val="30"/>
        </w:rPr>
        <w:t>คลังสิทธิ์งานสร้างสรรค์ + ชุดข้อมูล (corpus) ลิขสิทธิ์สะอาด เปิดให้ใช้งานและป้อนเข้า ThaiLLM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sz w:val="30"/>
        </w:rPr>
        <w:t>ตรารับรองคุณภาพ (Thai-LQM) และตรารับรองที่มา (Trusted Thai AI) ที่ใช้งานจริง ผ่านเกณฑ์ตลาดต่างประเทศ (EU AI Act ม.50)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sz w:val="30"/>
        </w:rPr>
        <w:t>ผลงาน/เครื่องมือ/IP สร้างสรรค์ของไทยที่เข้าสู่ตลาดและส่งออก พร้อมมูลค่าดีลที่วัดได้</w:t>
      </w:r>
    </w:p>
    <w:p>
      <w:pPr>
        <w:spacing w:after="60"/>
      </w:pPr>
      <w:r>
        <w:rPr>
          <w:rFonts w:ascii="TH Sarabun New" w:hAnsi="TH Sarabun New" w:cs="TH Sarabun New"/>
          <w:b/>
          <w:sz w:val="30"/>
        </w:rPr>
        <w:t>(8) ผลกระทบ/ประโยชน์ที่คาดว่าจะได้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sz w:val="30"/>
        </w:rPr>
        <w:t>ร่วมขับเคลื่อนสัดส่วนเศรษฐกิจสร้างสรรค์ใน GDP จากร้อยละ 8.78 สู่ร้อยละ 12 (วิสัยทัศน์ระดับชาติ — มิใช่ตัวชี้วัดผูกพันรายโครงการ)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sz w:val="30"/>
        </w:rPr>
        <w:t>ต้นทุนการผลิตคอนเทนต์ในสาขาเป้าหมายลดลงประมาณร้อยละ 30 (วัดด้วย Cost Index)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sz w:val="30"/>
        </w:rPr>
        <w:t>ผู้สร้างสรรค์ไทยได้รับความคุ้มครองลิขสิทธิ์ในยุค AI และมีรายได้จากการใช้ข้อมูล (royalty)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sz w:val="30"/>
        </w:rPr>
        <w:t>ดึงเม็ดเงินการผลิต/การส่งออก และการจ้างงานทักษะสูงเข้าประเทศ ผ่านกลไกจ่ายเมื่อเกิดผล</w:t>
      </w:r>
    </w:p>
    <w:p>
      <w:pPr>
        <w:pStyle w:val="ListBullet"/>
        <w:spacing w:after="40"/>
        <w:ind w:left="567"/>
      </w:pPr>
      <w:r>
        <w:rPr>
          <w:rFonts w:ascii="TH Sarabun New" w:hAnsi="TH Sarabun New" w:cs="TH Sarabun New"/>
          <w:sz w:val="30"/>
        </w:rPr>
        <w:t>ยกระดับขีดความสามารถผู้ประกอบการไทยและอุตสาหกรรม CreativeTech สู่การเป็นศูนย์กลางอาเซียน</w:t>
      </w:r>
    </w:p>
    <w:p>
      <w:pPr>
        <w:spacing w:after="60"/>
      </w:pPr>
      <w:r>
        <w:rPr>
          <w:rFonts w:ascii="TH Sarabun New" w:hAnsi="TH Sarabun New" w:cs="TH Sarabun New"/>
          <w:b/>
          <w:sz w:val="30"/>
        </w:rPr>
        <w:t>(9) กลไกการดำเนินงานและการกำกับ</w:t>
      </w:r>
    </w:p>
    <w:p>
      <w:pPr>
        <w:spacing w:after="120"/>
      </w:pPr>
      <w:r>
        <w:rPr>
          <w:rFonts w:ascii="TH Sarabun New" w:hAnsi="TH Sarabun New" w:cs="TH Sarabun New"/>
          <w:b w:val="0"/>
          <w:sz w:val="30"/>
        </w:rPr>
        <w:t>ดำเนินงานในรูปคณะทำงาน + คณะอนุทำงาน + สำนักงานเลขานุการ/PMO (เครือข่ายเสมือน ไม่ใช่หน่วยงาน/อาคารใหม่) โดย AICAT เป็นผู้ประสาน ใช้กลไกสนับสนุนแบบ co-pay/matching/rebate/first-loss/pay-for-outcome บนงบและโปรแกรมที่หน่วยงานเจ้าภาพมีอยู่ ติดตามและรายงานผลต่อคณะอนุกรรมการขับเคลื่อนแผนด้าน AI แห่งชาติเป็นระยะ โดยวัดผลเป็นมูลค่าทางการเงิน จำนวนดีล/สัญญา จำนวนราย และจำนวนชิ้นงาน</w:t>
      </w:r>
    </w:p>
    <w:p>
      <w:pPr>
        <w:spacing w:after="60"/>
      </w:pPr>
      <w:r>
        <w:rPr>
          <w:rFonts w:ascii="TH Sarabun New" w:hAnsi="TH Sarabun New" w:cs="TH Sarabun New"/>
          <w:b/>
          <w:sz w:val="30"/>
        </w:rPr>
        <w:t>(10) แผนกิจกรรมในช่วง 2 ปีแรก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กิจกรรม (โปรแกรมหลัก)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ปีที่ 1</w:t>
            </w:r>
          </w:p>
        </w:tc>
        <w:tc>
          <w:tcPr>
            <w:tcW w:type="dxa" w:w="2880"/>
          </w:tcPr>
          <w:p>
            <w:r/>
            <w:r>
              <w:rPr>
                <w:rFonts w:ascii="TH Sarabun New" w:hAnsi="TH Sarabun New" w:cs="TH Sarabun New"/>
                <w:b/>
                <w:sz w:val="28"/>
              </w:rPr>
              <w:t>ปีที่ 2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 New" w:hAnsi="TH Sarabun New" w:cs="TH Sarabun New"/>
                <w:sz w:val="28"/>
              </w:rPr>
              <w:t>1. Creative Data &amp; Rights Management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 New" w:hAnsi="TH Sarabun New" w:cs="TH Sarabun New"/>
                <w:sz w:val="28"/>
              </w:rPr>
              <w:t>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 New" w:hAnsi="TH Sarabun New" w:cs="TH Sarabun New"/>
                <w:sz w:val="28"/>
              </w:rPr>
              <w:t>✔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 New" w:hAnsi="TH Sarabun New" w:cs="TH Sarabun New"/>
                <w:sz w:val="28"/>
              </w:rPr>
              <w:t>2. Creative AI Production (voucher/rebate/dub-thai)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 New" w:hAnsi="TH Sarabun New" w:cs="TH Sarabun New"/>
                <w:sz w:val="28"/>
              </w:rPr>
              <w:t>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 New" w:hAnsi="TH Sarabun New" w:cs="TH Sarabun New"/>
                <w:sz w:val="28"/>
              </w:rPr>
              <w:t>✔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 New" w:hAnsi="TH Sarabun New" w:cs="TH Sarabun New"/>
                <w:sz w:val="28"/>
              </w:rPr>
              <w:t>3. Creative AI Validation — Thai-LQM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 New" w:hAnsi="TH Sarabun New" w:cs="TH Sarabun New"/>
                <w:sz w:val="28"/>
              </w:rPr>
              <w:t>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 New" w:hAnsi="TH Sarabun New" w:cs="TH Sarabun New"/>
                <w:sz w:val="28"/>
              </w:rPr>
              <w:t>✔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 New" w:hAnsi="TH Sarabun New" w:cs="TH Sarabun New"/>
                <w:sz w:val="28"/>
              </w:rPr>
              <w:t>4. Provenance &amp; IP — Trusted Thai AI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 New" w:hAnsi="TH Sarabun New" w:cs="TH Sarabun New"/>
                <w:sz w:val="28"/>
              </w:rPr>
              <w:t>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 New" w:hAnsi="TH Sarabun New" w:cs="TH Sarabun New"/>
                <w:sz w:val="28"/>
              </w:rPr>
              <w:t>✔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 New" w:hAnsi="TH Sarabun New" w:cs="TH Sarabun New"/>
                <w:sz w:val="28"/>
              </w:rPr>
              <w:t>5. Market &amp; Commercialization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 New" w:hAnsi="TH Sarabun New" w:cs="TH Sarabun New"/>
                <w:sz w:val="28"/>
              </w:rPr>
              <w:t>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 New" w:hAnsi="TH Sarabun New" w:cs="TH Sarabun New"/>
                <w:sz w:val="28"/>
              </w:rPr>
              <w:t>✔</w:t>
            </w:r>
          </w:p>
        </w:tc>
      </w:tr>
      <w:tr>
        <w:tc>
          <w:tcPr>
            <w:tcW w:type="dxa" w:w="2880"/>
          </w:tcPr>
          <w:p>
            <w:r>
              <w:rPr>
                <w:rFonts w:ascii="TH Sarabun New" w:hAnsi="TH Sarabun New" w:cs="TH Sarabun New"/>
                <w:sz w:val="28"/>
              </w:rPr>
              <w:t>6. Creative AI Benchmark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 New" w:hAnsi="TH Sarabun New" w:cs="TH Sarabun New"/>
                <w:sz w:val="28"/>
              </w:rPr>
              <w:t>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H Sarabun New" w:hAnsi="TH Sarabun New" w:cs="TH Sarabun New"/>
                <w:sz w:val="28"/>
              </w:rPr>
              <w:t>✔</w:t>
            </w:r>
          </w:p>
        </w:tc>
      </w:tr>
    </w:tbl>
    <w:p>
      <w:pPr>
        <w:spacing w:after="120"/>
      </w:pPr>
      <w:r>
        <w:rPr>
          <w:rFonts w:ascii="TH Sarabun New" w:hAnsi="TH Sarabun New" w:cs="TH Sarabun New"/>
          <w:b w:val="0"/>
          <w:sz w:val="30"/>
        </w:rPr>
      </w:r>
    </w:p>
    <w:p>
      <w:pPr>
        <w:spacing w:after="120"/>
        <w:jc w:val="center"/>
      </w:pPr>
      <w:r>
        <w:rPr>
          <w:rFonts w:ascii="TH Sarabun New" w:hAnsi="TH Sarabun New" w:cs="TH Sarabun New"/>
          <w:b w:val="0"/>
          <w:color w:val="1F4E78"/>
          <w:sz w:val="26"/>
        </w:rPr>
        <w:t>จัดทำโดย สมาคมสร้างสรรค์ปัญญาประดิษฐ์ไทย (AICAT) ในฐานะผู้ประสานคณะทำงานฯ · มิถุนายน 2569 · ฉบับร่างเพื่อทบทวน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 w:eastAsia="TH Sarabun New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