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DA4D" w14:textId="77777777" w:rsidR="0057214F" w:rsidRPr="00797159" w:rsidRDefault="00000000" w:rsidP="00797159">
      <w:pPr>
        <w:spacing w:before="240" w:line="288" w:lineRule="auto"/>
        <w:jc w:val="center"/>
        <w:rPr>
          <w:rFonts w:ascii="Times New Roman" w:hAnsi="Times New Roman" w:cs="Times New Roman"/>
          <w:sz w:val="56"/>
          <w:szCs w:val="56"/>
        </w:rPr>
      </w:pPr>
      <w:bookmarkStart w:id="0" w:name="music_clustering_analysis_report"/>
      <w:r w:rsidRPr="00797159">
        <w:rPr>
          <w:rFonts w:ascii="Times New Roman" w:hAnsi="Times New Roman" w:cs="Times New Roman"/>
          <w:b/>
          <w:sz w:val="56"/>
          <w:szCs w:val="56"/>
        </w:rPr>
        <w:t>Music Clustering Analysis Report</w:t>
      </w:r>
      <w:bookmarkEnd w:id="0"/>
    </w:p>
    <w:p w14:paraId="0E38164D" w14:textId="77777777" w:rsidR="00797159" w:rsidRPr="00E977B6" w:rsidRDefault="00797159" w:rsidP="00797159">
      <w:pPr>
        <w:spacing w:after="210"/>
        <w:rPr>
          <w:rFonts w:ascii="Times New Roman" w:hAnsi="Times New Roman" w:cs="Times New Roman"/>
          <w:sz w:val="28"/>
          <w:szCs w:val="28"/>
        </w:rPr>
      </w:pPr>
      <w:bookmarkStart w:id="1" w:name="executive_summary"/>
      <w:r w:rsidRPr="00E977B6">
        <w:rPr>
          <w:rFonts w:ascii="Times New Roman" w:hAnsi="Times New Roman" w:cs="Times New Roman"/>
          <w:b/>
          <w:sz w:val="28"/>
          <w:szCs w:val="28"/>
        </w:rPr>
        <w:t xml:space="preserve">CS 4412 Data Mining </w:t>
      </w:r>
    </w:p>
    <w:p w14:paraId="6F7989BC" w14:textId="77777777" w:rsidR="00797159" w:rsidRDefault="00797159" w:rsidP="00797159">
      <w:pPr>
        <w:spacing w:before="240" w:line="271" w:lineRule="auto"/>
        <w:rPr>
          <w:rFonts w:ascii="Times New Roman" w:hAnsi="Times New Roman" w:cs="Times New Roman"/>
          <w:sz w:val="28"/>
          <w:szCs w:val="28"/>
        </w:rPr>
      </w:pPr>
      <w:r w:rsidRPr="00E977B6">
        <w:rPr>
          <w:rFonts w:ascii="Times New Roman" w:hAnsi="Times New Roman" w:cs="Times New Roman"/>
          <w:b/>
          <w:sz w:val="28"/>
          <w:szCs w:val="28"/>
        </w:rPr>
        <w:t>Student:</w:t>
      </w:r>
      <w:r w:rsidRPr="00E977B6">
        <w:rPr>
          <w:rFonts w:ascii="Times New Roman" w:hAnsi="Times New Roman" w:cs="Times New Roman"/>
          <w:sz w:val="28"/>
          <w:szCs w:val="28"/>
        </w:rPr>
        <w:t xml:space="preserve"> </w:t>
      </w:r>
      <w:r>
        <w:rPr>
          <w:rFonts w:ascii="Times New Roman" w:hAnsi="Times New Roman" w:cs="Times New Roman"/>
          <w:sz w:val="28"/>
          <w:szCs w:val="28"/>
        </w:rPr>
        <w:t>NAME</w:t>
      </w:r>
      <w:r w:rsidRPr="00E977B6">
        <w:rPr>
          <w:rFonts w:ascii="Times New Roman" w:hAnsi="Times New Roman" w:cs="Times New Roman"/>
          <w:sz w:val="28"/>
          <w:szCs w:val="28"/>
        </w:rPr>
        <w:br/>
      </w:r>
      <w:r w:rsidRPr="00E977B6">
        <w:rPr>
          <w:rFonts w:ascii="Times New Roman" w:hAnsi="Times New Roman" w:cs="Times New Roman"/>
          <w:b/>
          <w:sz w:val="28"/>
          <w:szCs w:val="28"/>
        </w:rPr>
        <w:t>Date:</w:t>
      </w:r>
      <w:r w:rsidRPr="00E977B6">
        <w:rPr>
          <w:rFonts w:ascii="Times New Roman" w:hAnsi="Times New Roman" w:cs="Times New Roman"/>
          <w:sz w:val="28"/>
          <w:szCs w:val="28"/>
        </w:rPr>
        <w:t xml:space="preserve"> </w:t>
      </w:r>
      <w:proofErr w:type="gramStart"/>
      <w:r w:rsidRPr="00E977B6">
        <w:rPr>
          <w:rFonts w:ascii="Times New Roman" w:hAnsi="Times New Roman" w:cs="Times New Roman"/>
          <w:sz w:val="28"/>
          <w:szCs w:val="28"/>
        </w:rPr>
        <w:t>March</w:t>
      </w:r>
      <w:r>
        <w:rPr>
          <w:rFonts w:ascii="Times New Roman" w:hAnsi="Times New Roman" w:cs="Times New Roman"/>
          <w:sz w:val="28"/>
          <w:szCs w:val="28"/>
        </w:rPr>
        <w:t xml:space="preserve"> </w:t>
      </w:r>
      <w:r w:rsidRPr="00E977B6">
        <w:rPr>
          <w:rFonts w:ascii="Times New Roman" w:hAnsi="Times New Roman" w:cs="Times New Roman"/>
          <w:sz w:val="28"/>
          <w:szCs w:val="28"/>
        </w:rPr>
        <w:t>,</w:t>
      </w:r>
      <w:proofErr w:type="gramEnd"/>
      <w:r w:rsidRPr="00E977B6">
        <w:rPr>
          <w:rFonts w:ascii="Times New Roman" w:hAnsi="Times New Roman" w:cs="Times New Roman"/>
          <w:sz w:val="28"/>
          <w:szCs w:val="28"/>
        </w:rPr>
        <w:t xml:space="preserve"> 2026</w:t>
      </w:r>
    </w:p>
    <w:p w14:paraId="62612BDF" w14:textId="1E459BDF" w:rsidR="0057214F" w:rsidRPr="00797159" w:rsidRDefault="00000000" w:rsidP="00797159">
      <w:pPr>
        <w:spacing w:before="240" w:line="271" w:lineRule="auto"/>
        <w:jc w:val="both"/>
        <w:rPr>
          <w:rFonts w:ascii="Times New Roman" w:hAnsi="Times New Roman" w:cs="Times New Roman"/>
        </w:rPr>
      </w:pPr>
      <w:r w:rsidRPr="00797159">
        <w:rPr>
          <w:rFonts w:ascii="Times New Roman" w:hAnsi="Times New Roman" w:cs="Times New Roman"/>
          <w:b/>
          <w:sz w:val="42"/>
        </w:rPr>
        <w:t>Executive Summary</w:t>
      </w:r>
      <w:bookmarkEnd w:id="1"/>
    </w:p>
    <w:p w14:paraId="44DCEE6A"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This report presents a comprehensive clustering analysis of Spotify music tracks. The analysis employed K-Means clustering to group similar songs based on their audio features. The goal was to identify natural patterns in the music dataset and understand how different audio characteristics define distinct music clusters.</w:t>
      </w:r>
    </w:p>
    <w:p w14:paraId="6AB341A1"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analysis revealed two primary clusters that effectively separate the dataset based on acoustic properties versus electronic characteristics. The findings show that acoustic features serve as the strongest differentiator between music groups.</w:t>
      </w:r>
    </w:p>
    <w:p w14:paraId="79E9B79E" w14:textId="77777777" w:rsidR="0057214F" w:rsidRPr="00797159" w:rsidRDefault="00000000" w:rsidP="00797159">
      <w:pPr>
        <w:spacing w:before="240" w:line="271" w:lineRule="auto"/>
        <w:jc w:val="both"/>
        <w:rPr>
          <w:rFonts w:ascii="Times New Roman" w:hAnsi="Times New Roman" w:cs="Times New Roman"/>
        </w:rPr>
      </w:pPr>
      <w:bookmarkStart w:id="2" w:name="dataset_overview"/>
      <w:r w:rsidRPr="00797159">
        <w:rPr>
          <w:rFonts w:ascii="Times New Roman" w:hAnsi="Times New Roman" w:cs="Times New Roman"/>
          <w:b/>
          <w:sz w:val="42"/>
        </w:rPr>
        <w:t>Dataset Overview</w:t>
      </w:r>
      <w:bookmarkEnd w:id="2"/>
    </w:p>
    <w:p w14:paraId="16362B7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 xml:space="preserve">The dataset contains 8,947 music tracks with 19 attributes covering various audio features and metadata. Each track includes measurements for danceability, energy,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valence, tempo, loudness, </w:t>
      </w:r>
      <w:proofErr w:type="spellStart"/>
      <w:r w:rsidRPr="00797159">
        <w:rPr>
          <w:rFonts w:ascii="Times New Roman" w:hAnsi="Times New Roman" w:cs="Times New Roman"/>
        </w:rPr>
        <w:t>speechiness</w:t>
      </w:r>
      <w:proofErr w:type="spellEnd"/>
      <w:r w:rsidRPr="00797159">
        <w:rPr>
          <w:rFonts w:ascii="Times New Roman" w:hAnsi="Times New Roman" w:cs="Times New Roman"/>
        </w:rPr>
        <w:t>, liveness, and duration, along with genre classification.</w:t>
      </w:r>
    </w:p>
    <w:p w14:paraId="372DA8C7" w14:textId="77777777" w:rsidR="0057214F" w:rsidRPr="00797159" w:rsidRDefault="00000000" w:rsidP="00797159">
      <w:pPr>
        <w:spacing w:before="240" w:line="271" w:lineRule="auto"/>
        <w:jc w:val="both"/>
        <w:rPr>
          <w:rFonts w:ascii="Times New Roman" w:hAnsi="Times New Roman" w:cs="Times New Roman"/>
        </w:rPr>
      </w:pPr>
      <w:bookmarkStart w:id="3" w:name="key_features_analyzed"/>
      <w:r w:rsidRPr="00797159">
        <w:rPr>
          <w:rFonts w:ascii="Times New Roman" w:hAnsi="Times New Roman" w:cs="Times New Roman"/>
          <w:b/>
          <w:sz w:val="33"/>
        </w:rPr>
        <w:t>Key Features Analyzed</w:t>
      </w:r>
      <w:bookmarkEnd w:id="3"/>
    </w:p>
    <w:p w14:paraId="6DB0B780"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Danceability</w:t>
      </w:r>
      <w:r w:rsidRPr="00797159">
        <w:rPr>
          <w:rFonts w:ascii="Times New Roman" w:hAnsi="Times New Roman" w:cs="Times New Roman"/>
        </w:rPr>
        <w:t>: Measure of how suitable a track is for dancing (0.0 to 1.0)</w:t>
      </w:r>
    </w:p>
    <w:p w14:paraId="2F7CA835"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Energy</w:t>
      </w:r>
      <w:r w:rsidRPr="00797159">
        <w:rPr>
          <w:rFonts w:ascii="Times New Roman" w:hAnsi="Times New Roman" w:cs="Times New Roman"/>
        </w:rPr>
        <w:t>: Intensity and activity level of the track (0.0 to 1.0)</w:t>
      </w:r>
    </w:p>
    <w:p w14:paraId="5C4DB2B9" w14:textId="77777777" w:rsidR="0057214F" w:rsidRPr="00797159" w:rsidRDefault="00000000" w:rsidP="00797159">
      <w:pPr>
        <w:numPr>
          <w:ilvl w:val="0"/>
          <w:numId w:val="1"/>
        </w:numPr>
        <w:jc w:val="both"/>
        <w:rPr>
          <w:rFonts w:ascii="Times New Roman" w:hAnsi="Times New Roman" w:cs="Times New Roman"/>
        </w:rPr>
      </w:pPr>
      <w:proofErr w:type="spellStart"/>
      <w:r w:rsidRPr="00797159">
        <w:rPr>
          <w:rFonts w:ascii="Times New Roman" w:hAnsi="Times New Roman" w:cs="Times New Roman"/>
          <w:b/>
        </w:rPr>
        <w:t>Acousticness</w:t>
      </w:r>
      <w:proofErr w:type="spellEnd"/>
      <w:r w:rsidRPr="00797159">
        <w:rPr>
          <w:rFonts w:ascii="Times New Roman" w:hAnsi="Times New Roman" w:cs="Times New Roman"/>
        </w:rPr>
        <w:t>: Confidence measure of whether the track is acoustic (0.0 to 1.0)</w:t>
      </w:r>
    </w:p>
    <w:p w14:paraId="2BCE4943"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Valence</w:t>
      </w:r>
      <w:r w:rsidRPr="00797159">
        <w:rPr>
          <w:rFonts w:ascii="Times New Roman" w:hAnsi="Times New Roman" w:cs="Times New Roman"/>
        </w:rPr>
        <w:t>: Musical positivity conveyed by the track (0.0 to 1.0)</w:t>
      </w:r>
    </w:p>
    <w:p w14:paraId="23DD51F4"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Tempo</w:t>
      </w:r>
      <w:r w:rsidRPr="00797159">
        <w:rPr>
          <w:rFonts w:ascii="Times New Roman" w:hAnsi="Times New Roman" w:cs="Times New Roman"/>
        </w:rPr>
        <w:t>: Overall estimated tempo in beats per minute (BPM)</w:t>
      </w:r>
    </w:p>
    <w:p w14:paraId="7C9DC378"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Loudness</w:t>
      </w:r>
      <w:r w:rsidRPr="00797159">
        <w:rPr>
          <w:rFonts w:ascii="Times New Roman" w:hAnsi="Times New Roman" w:cs="Times New Roman"/>
        </w:rPr>
        <w:t>: Overall loudness in decibels (dB)</w:t>
      </w:r>
    </w:p>
    <w:p w14:paraId="4B60DDE3" w14:textId="77777777" w:rsidR="0057214F" w:rsidRPr="00797159" w:rsidRDefault="00000000" w:rsidP="00797159">
      <w:pPr>
        <w:numPr>
          <w:ilvl w:val="0"/>
          <w:numId w:val="1"/>
        </w:numPr>
        <w:jc w:val="both"/>
        <w:rPr>
          <w:rFonts w:ascii="Times New Roman" w:hAnsi="Times New Roman" w:cs="Times New Roman"/>
        </w:rPr>
      </w:pPr>
      <w:proofErr w:type="spellStart"/>
      <w:r w:rsidRPr="00797159">
        <w:rPr>
          <w:rFonts w:ascii="Times New Roman" w:hAnsi="Times New Roman" w:cs="Times New Roman"/>
          <w:b/>
        </w:rPr>
        <w:t>Speechiness</w:t>
      </w:r>
      <w:proofErr w:type="spellEnd"/>
      <w:r w:rsidRPr="00797159">
        <w:rPr>
          <w:rFonts w:ascii="Times New Roman" w:hAnsi="Times New Roman" w:cs="Times New Roman"/>
        </w:rPr>
        <w:t>: Presence of spoken words in the track (0.0 to 1.0)</w:t>
      </w:r>
    </w:p>
    <w:p w14:paraId="5E2D1AB7"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Liveness</w:t>
      </w:r>
      <w:r w:rsidRPr="00797159">
        <w:rPr>
          <w:rFonts w:ascii="Times New Roman" w:hAnsi="Times New Roman" w:cs="Times New Roman"/>
        </w:rPr>
        <w:t>: Presence of audience in the recording (0.0 to 1.0)</w:t>
      </w:r>
    </w:p>
    <w:p w14:paraId="0366C2BD" w14:textId="77777777" w:rsidR="0057214F" w:rsidRPr="00797159" w:rsidRDefault="00000000" w:rsidP="00797159">
      <w:pPr>
        <w:numPr>
          <w:ilvl w:val="0"/>
          <w:numId w:val="1"/>
        </w:numPr>
        <w:jc w:val="both"/>
        <w:rPr>
          <w:rFonts w:ascii="Times New Roman" w:hAnsi="Times New Roman" w:cs="Times New Roman"/>
        </w:rPr>
      </w:pPr>
      <w:r w:rsidRPr="00797159">
        <w:rPr>
          <w:rFonts w:ascii="Times New Roman" w:hAnsi="Times New Roman" w:cs="Times New Roman"/>
          <w:b/>
        </w:rPr>
        <w:t>Duration</w:t>
      </w:r>
      <w:r w:rsidRPr="00797159">
        <w:rPr>
          <w:rFonts w:ascii="Times New Roman" w:hAnsi="Times New Roman" w:cs="Times New Roman"/>
        </w:rPr>
        <w:t>: Length of the track in milliseconds</w:t>
      </w:r>
    </w:p>
    <w:p w14:paraId="1849817D"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Sample tracks from the dataset include pop, R&amp;B, acoustic, and hip-hop genres with varying characteristics across all features.</w:t>
      </w:r>
    </w:p>
    <w:p w14:paraId="08F5BDE1" w14:textId="77777777" w:rsidR="00797159" w:rsidRDefault="00797159" w:rsidP="00797159">
      <w:pPr>
        <w:spacing w:before="240" w:line="271" w:lineRule="auto"/>
        <w:jc w:val="both"/>
        <w:rPr>
          <w:rFonts w:ascii="Times New Roman" w:hAnsi="Times New Roman" w:cs="Times New Roman"/>
          <w:b/>
          <w:sz w:val="42"/>
        </w:rPr>
      </w:pPr>
      <w:bookmarkStart w:id="4" w:name="methodology"/>
    </w:p>
    <w:p w14:paraId="54C790C0" w14:textId="77777777" w:rsidR="00797159" w:rsidRDefault="00797159" w:rsidP="00797159">
      <w:pPr>
        <w:spacing w:before="240" w:line="271" w:lineRule="auto"/>
        <w:jc w:val="both"/>
        <w:rPr>
          <w:rFonts w:ascii="Times New Roman" w:hAnsi="Times New Roman" w:cs="Times New Roman"/>
          <w:b/>
          <w:sz w:val="42"/>
        </w:rPr>
      </w:pPr>
    </w:p>
    <w:p w14:paraId="56F94E0F" w14:textId="5682035B" w:rsidR="0057214F" w:rsidRPr="00797159" w:rsidRDefault="00000000" w:rsidP="00797159">
      <w:pPr>
        <w:spacing w:before="240" w:line="271" w:lineRule="auto"/>
        <w:jc w:val="both"/>
        <w:rPr>
          <w:rFonts w:ascii="Times New Roman" w:hAnsi="Times New Roman" w:cs="Times New Roman"/>
        </w:rPr>
      </w:pPr>
      <w:r w:rsidRPr="00797159">
        <w:rPr>
          <w:rFonts w:ascii="Times New Roman" w:hAnsi="Times New Roman" w:cs="Times New Roman"/>
          <w:b/>
          <w:sz w:val="42"/>
        </w:rPr>
        <w:lastRenderedPageBreak/>
        <w:t>Methodology</w:t>
      </w:r>
      <w:bookmarkEnd w:id="4"/>
    </w:p>
    <w:p w14:paraId="3534716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clustering analysis followed a structured approach to identify natural groupings in the music data.</w:t>
      </w:r>
    </w:p>
    <w:p w14:paraId="37EEB7EF" w14:textId="77777777" w:rsidR="0057214F" w:rsidRPr="00797159" w:rsidRDefault="00000000" w:rsidP="00797159">
      <w:pPr>
        <w:spacing w:before="240" w:line="271" w:lineRule="auto"/>
        <w:jc w:val="both"/>
        <w:rPr>
          <w:rFonts w:ascii="Times New Roman" w:hAnsi="Times New Roman" w:cs="Times New Roman"/>
        </w:rPr>
      </w:pPr>
      <w:bookmarkStart w:id="5" w:name="feature_engineering"/>
      <w:r w:rsidRPr="00797159">
        <w:rPr>
          <w:rFonts w:ascii="Times New Roman" w:hAnsi="Times New Roman" w:cs="Times New Roman"/>
          <w:b/>
          <w:sz w:val="33"/>
        </w:rPr>
        <w:t>Feature Engineering</w:t>
      </w:r>
      <w:bookmarkEnd w:id="5"/>
    </w:p>
    <w:p w14:paraId="5C1324EA"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To enhance the clustering effectiveness, a derived feature was created to capture the relationship between acoustic and electronic properties.</w:t>
      </w:r>
    </w:p>
    <w:p w14:paraId="657BFDB9"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b/>
        </w:rPr>
        <w:t>Acoustic-Electronic Ratio</w:t>
      </w:r>
      <w:r w:rsidRPr="00797159">
        <w:rPr>
          <w:rFonts w:ascii="Times New Roman" w:hAnsi="Times New Roman" w:cs="Times New Roman"/>
        </w:rPr>
        <w:t xml:space="preserve">: This ratio was calculated as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divided by energy (with a small constant added to prevent division by zero). The ratio was then log-transformed to handle extreme outliers and create a more normally distributed feature.</w:t>
      </w:r>
    </w:p>
    <w:p w14:paraId="60C17E71"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This engineered feature proved crucial in distinguishing between acoustic-heavy tracks and electronic/energetic music.</w:t>
      </w:r>
    </w:p>
    <w:p w14:paraId="7A1CA5E4" w14:textId="77777777" w:rsidR="0057214F" w:rsidRPr="00797159" w:rsidRDefault="00000000" w:rsidP="00797159">
      <w:pPr>
        <w:spacing w:before="240" w:line="271" w:lineRule="auto"/>
        <w:jc w:val="both"/>
        <w:rPr>
          <w:rFonts w:ascii="Times New Roman" w:hAnsi="Times New Roman" w:cs="Times New Roman"/>
        </w:rPr>
      </w:pPr>
      <w:bookmarkStart w:id="6" w:name="feature_standardization"/>
      <w:r w:rsidRPr="00797159">
        <w:rPr>
          <w:rFonts w:ascii="Times New Roman" w:hAnsi="Times New Roman" w:cs="Times New Roman"/>
          <w:b/>
          <w:sz w:val="33"/>
        </w:rPr>
        <w:t>Feature Standardization</w:t>
      </w:r>
      <w:bookmarkEnd w:id="6"/>
    </w:p>
    <w:p w14:paraId="38150ACC"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 xml:space="preserve">All features were standardized using </w:t>
      </w:r>
      <w:proofErr w:type="spellStart"/>
      <w:r w:rsidRPr="00797159">
        <w:rPr>
          <w:rFonts w:ascii="Times New Roman" w:hAnsi="Times New Roman" w:cs="Times New Roman"/>
        </w:rPr>
        <w:t>StandardScaler</w:t>
      </w:r>
      <w:proofErr w:type="spellEnd"/>
      <w:r w:rsidRPr="00797159">
        <w:rPr>
          <w:rFonts w:ascii="Times New Roman" w:hAnsi="Times New Roman" w:cs="Times New Roman"/>
        </w:rPr>
        <w:t xml:space="preserve"> to ensure each variable contributed equally to the clustering algorithm. Standardization transforms features to have a mean of zero and standard deviation of one, preventing features with larger scales from dominating the distance calculations.</w:t>
      </w:r>
    </w:p>
    <w:p w14:paraId="1A4C0E67" w14:textId="77777777" w:rsidR="0057214F" w:rsidRPr="00797159" w:rsidRDefault="00000000" w:rsidP="00797159">
      <w:pPr>
        <w:spacing w:before="240" w:line="271" w:lineRule="auto"/>
        <w:jc w:val="both"/>
        <w:rPr>
          <w:rFonts w:ascii="Times New Roman" w:hAnsi="Times New Roman" w:cs="Times New Roman"/>
        </w:rPr>
      </w:pPr>
      <w:bookmarkStart w:id="7" w:name="optimal_cluster_selection"/>
      <w:r w:rsidRPr="00797159">
        <w:rPr>
          <w:rFonts w:ascii="Times New Roman" w:hAnsi="Times New Roman" w:cs="Times New Roman"/>
          <w:b/>
          <w:sz w:val="33"/>
        </w:rPr>
        <w:t>Optimal Cluster Selection</w:t>
      </w:r>
      <w:bookmarkEnd w:id="7"/>
    </w:p>
    <w:p w14:paraId="72D1342C"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To determine the best number of clusters, two evaluation metrics were employed across different cluster counts (K=2 to K=6).</w:t>
      </w:r>
    </w:p>
    <w:p w14:paraId="5ECB6302"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b/>
        </w:rPr>
        <w:t>Silhouette Score</w:t>
      </w:r>
      <w:r w:rsidRPr="00797159">
        <w:rPr>
          <w:rFonts w:ascii="Times New Roman" w:hAnsi="Times New Roman" w:cs="Times New Roman"/>
        </w:rPr>
        <w:t>: Measures how similar an object is to its own cluster compared to other clusters. Higher values indicate better-defined clusters.</w:t>
      </w:r>
    </w:p>
    <w:p w14:paraId="3BA23AA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b/>
        </w:rPr>
        <w:t>Davies-Bouldin Index</w:t>
      </w:r>
      <w:r w:rsidRPr="00797159">
        <w:rPr>
          <w:rFonts w:ascii="Times New Roman" w:hAnsi="Times New Roman" w:cs="Times New Roman"/>
        </w:rPr>
        <w:t>: Measures the average similarity ratio of each cluster with its most similar cluster. Lower values indicate better clustering.</w:t>
      </w:r>
    </w:p>
    <w:tbl>
      <w:tblPr>
        <w:tblStyle w:val="NormalGrid"/>
        <w:tblW w:w="0" w:type="auto"/>
        <w:jc w:val="center"/>
        <w:tblCellSpacing w:w="0" w:type="dxa"/>
        <w:tblLook w:val="04A0" w:firstRow="1" w:lastRow="0" w:firstColumn="1" w:lastColumn="0" w:noHBand="0" w:noVBand="1"/>
      </w:tblPr>
      <w:tblGrid>
        <w:gridCol w:w="512"/>
        <w:gridCol w:w="1723"/>
        <w:gridCol w:w="2201"/>
      </w:tblGrid>
      <w:tr w:rsidR="0057214F" w:rsidRPr="00797159" w14:paraId="27FA344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9B0632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K</w:t>
            </w:r>
          </w:p>
        </w:tc>
        <w:tc>
          <w:tcPr>
            <w:tcW w:w="0" w:type="auto"/>
            <w:tcBorders>
              <w:top w:val="single" w:sz="8" w:space="0" w:color="000000"/>
              <w:bottom w:val="single" w:sz="8" w:space="0" w:color="000000"/>
              <w:right w:val="single" w:sz="8" w:space="0" w:color="000000"/>
            </w:tcBorders>
            <w:vAlign w:val="center"/>
          </w:tcPr>
          <w:p w14:paraId="5ED94E4C"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Silhouette Score</w:t>
            </w:r>
          </w:p>
        </w:tc>
        <w:tc>
          <w:tcPr>
            <w:tcW w:w="0" w:type="auto"/>
            <w:tcBorders>
              <w:top w:val="single" w:sz="8" w:space="0" w:color="000000"/>
              <w:bottom w:val="single" w:sz="8" w:space="0" w:color="000000"/>
              <w:right w:val="single" w:sz="8" w:space="0" w:color="000000"/>
            </w:tcBorders>
            <w:vAlign w:val="center"/>
          </w:tcPr>
          <w:p w14:paraId="519DA61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Davies-Bouldin Index</w:t>
            </w:r>
          </w:p>
        </w:tc>
      </w:tr>
      <w:tr w:rsidR="0057214F" w:rsidRPr="00797159" w14:paraId="7B26FE2C" w14:textId="77777777">
        <w:trPr>
          <w:cantSplit/>
          <w:tblCellSpacing w:w="0" w:type="dxa"/>
          <w:jc w:val="center"/>
        </w:trPr>
        <w:tc>
          <w:tcPr>
            <w:tcW w:w="0" w:type="auto"/>
            <w:tcBorders>
              <w:left w:val="single" w:sz="8" w:space="0" w:color="000000"/>
              <w:right w:val="single" w:sz="8" w:space="0" w:color="000000"/>
            </w:tcBorders>
            <w:vAlign w:val="center"/>
          </w:tcPr>
          <w:p w14:paraId="44B337F1"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w:t>
            </w:r>
          </w:p>
        </w:tc>
        <w:tc>
          <w:tcPr>
            <w:tcW w:w="0" w:type="auto"/>
            <w:tcBorders>
              <w:right w:val="single" w:sz="8" w:space="0" w:color="000000"/>
            </w:tcBorders>
            <w:vAlign w:val="center"/>
          </w:tcPr>
          <w:p w14:paraId="2A75F756"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0.175</w:t>
            </w:r>
          </w:p>
        </w:tc>
        <w:tc>
          <w:tcPr>
            <w:tcW w:w="0" w:type="auto"/>
            <w:tcBorders>
              <w:right w:val="single" w:sz="8" w:space="0" w:color="000000"/>
            </w:tcBorders>
            <w:vAlign w:val="center"/>
          </w:tcPr>
          <w:p w14:paraId="0A9E6F78"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1.995</w:t>
            </w:r>
          </w:p>
        </w:tc>
      </w:tr>
      <w:tr w:rsidR="0057214F" w:rsidRPr="00797159" w14:paraId="5C2351FC" w14:textId="77777777">
        <w:trPr>
          <w:cantSplit/>
          <w:tblCellSpacing w:w="0" w:type="dxa"/>
          <w:jc w:val="center"/>
        </w:trPr>
        <w:tc>
          <w:tcPr>
            <w:tcW w:w="0" w:type="auto"/>
            <w:tcBorders>
              <w:left w:val="single" w:sz="8" w:space="0" w:color="000000"/>
              <w:right w:val="single" w:sz="8" w:space="0" w:color="000000"/>
            </w:tcBorders>
            <w:vAlign w:val="center"/>
          </w:tcPr>
          <w:p w14:paraId="21F1C4F0"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3</w:t>
            </w:r>
          </w:p>
        </w:tc>
        <w:tc>
          <w:tcPr>
            <w:tcW w:w="0" w:type="auto"/>
            <w:tcBorders>
              <w:right w:val="single" w:sz="8" w:space="0" w:color="000000"/>
            </w:tcBorders>
            <w:vAlign w:val="center"/>
          </w:tcPr>
          <w:p w14:paraId="531CF4D7"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0.100</w:t>
            </w:r>
          </w:p>
        </w:tc>
        <w:tc>
          <w:tcPr>
            <w:tcW w:w="0" w:type="auto"/>
            <w:tcBorders>
              <w:right w:val="single" w:sz="8" w:space="0" w:color="000000"/>
            </w:tcBorders>
            <w:vAlign w:val="center"/>
          </w:tcPr>
          <w:p w14:paraId="18E9CB27"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2.654</w:t>
            </w:r>
          </w:p>
        </w:tc>
      </w:tr>
      <w:tr w:rsidR="0057214F" w:rsidRPr="00797159" w14:paraId="34DF1491" w14:textId="77777777">
        <w:trPr>
          <w:cantSplit/>
          <w:tblCellSpacing w:w="0" w:type="dxa"/>
          <w:jc w:val="center"/>
        </w:trPr>
        <w:tc>
          <w:tcPr>
            <w:tcW w:w="0" w:type="auto"/>
            <w:tcBorders>
              <w:left w:val="single" w:sz="8" w:space="0" w:color="000000"/>
              <w:right w:val="single" w:sz="8" w:space="0" w:color="000000"/>
            </w:tcBorders>
            <w:vAlign w:val="center"/>
          </w:tcPr>
          <w:p w14:paraId="520D20F0"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4</w:t>
            </w:r>
          </w:p>
        </w:tc>
        <w:tc>
          <w:tcPr>
            <w:tcW w:w="0" w:type="auto"/>
            <w:tcBorders>
              <w:right w:val="single" w:sz="8" w:space="0" w:color="000000"/>
            </w:tcBorders>
            <w:vAlign w:val="center"/>
          </w:tcPr>
          <w:p w14:paraId="5CB582B5"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0.086</w:t>
            </w:r>
          </w:p>
        </w:tc>
        <w:tc>
          <w:tcPr>
            <w:tcW w:w="0" w:type="auto"/>
            <w:tcBorders>
              <w:right w:val="single" w:sz="8" w:space="0" w:color="000000"/>
            </w:tcBorders>
            <w:vAlign w:val="center"/>
          </w:tcPr>
          <w:p w14:paraId="3A644CB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2.591</w:t>
            </w:r>
          </w:p>
        </w:tc>
      </w:tr>
      <w:tr w:rsidR="0057214F" w:rsidRPr="00797159" w14:paraId="6927C640" w14:textId="77777777">
        <w:trPr>
          <w:cantSplit/>
          <w:tblCellSpacing w:w="0" w:type="dxa"/>
          <w:jc w:val="center"/>
        </w:trPr>
        <w:tc>
          <w:tcPr>
            <w:tcW w:w="0" w:type="auto"/>
            <w:tcBorders>
              <w:left w:val="single" w:sz="8" w:space="0" w:color="000000"/>
              <w:right w:val="single" w:sz="8" w:space="0" w:color="000000"/>
            </w:tcBorders>
            <w:vAlign w:val="center"/>
          </w:tcPr>
          <w:p w14:paraId="6D24D896"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5</w:t>
            </w:r>
          </w:p>
        </w:tc>
        <w:tc>
          <w:tcPr>
            <w:tcW w:w="0" w:type="auto"/>
            <w:tcBorders>
              <w:right w:val="single" w:sz="8" w:space="0" w:color="000000"/>
            </w:tcBorders>
            <w:vAlign w:val="center"/>
          </w:tcPr>
          <w:p w14:paraId="3995F17F"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0.091</w:t>
            </w:r>
          </w:p>
        </w:tc>
        <w:tc>
          <w:tcPr>
            <w:tcW w:w="0" w:type="auto"/>
            <w:tcBorders>
              <w:right w:val="single" w:sz="8" w:space="0" w:color="000000"/>
            </w:tcBorders>
            <w:vAlign w:val="center"/>
          </w:tcPr>
          <w:p w14:paraId="485E6A7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2.424</w:t>
            </w:r>
          </w:p>
        </w:tc>
      </w:tr>
      <w:tr w:rsidR="0057214F" w:rsidRPr="00797159" w14:paraId="263C9C2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ED6FB9"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6</w:t>
            </w:r>
          </w:p>
        </w:tc>
        <w:tc>
          <w:tcPr>
            <w:tcW w:w="0" w:type="auto"/>
            <w:tcBorders>
              <w:bottom w:val="single" w:sz="8" w:space="0" w:color="000000"/>
              <w:right w:val="single" w:sz="8" w:space="0" w:color="000000"/>
            </w:tcBorders>
            <w:vAlign w:val="center"/>
          </w:tcPr>
          <w:p w14:paraId="70E3EA50"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0.093</w:t>
            </w:r>
          </w:p>
        </w:tc>
        <w:tc>
          <w:tcPr>
            <w:tcW w:w="0" w:type="auto"/>
            <w:tcBorders>
              <w:bottom w:val="single" w:sz="8" w:space="0" w:color="000000"/>
              <w:right w:val="single" w:sz="8" w:space="0" w:color="000000"/>
            </w:tcBorders>
            <w:vAlign w:val="center"/>
          </w:tcPr>
          <w:p w14:paraId="72A104A8"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2.257</w:t>
            </w:r>
          </w:p>
        </w:tc>
      </w:tr>
    </w:tbl>
    <w:p w14:paraId="7E3ED556" w14:textId="77777777" w:rsidR="0057214F" w:rsidRPr="00797159" w:rsidRDefault="0057214F" w:rsidP="00797159">
      <w:pPr>
        <w:jc w:val="both"/>
        <w:rPr>
          <w:rFonts w:ascii="Times New Roman" w:hAnsi="Times New Roman" w:cs="Times New Roman"/>
        </w:rPr>
      </w:pPr>
    </w:p>
    <w:p w14:paraId="4B8B304A" w14:textId="77777777" w:rsidR="0057214F" w:rsidRPr="00797159" w:rsidRDefault="00000000" w:rsidP="00797159">
      <w:pPr>
        <w:jc w:val="center"/>
        <w:rPr>
          <w:rFonts w:ascii="Times New Roman" w:hAnsi="Times New Roman" w:cs="Times New Roman"/>
        </w:rPr>
      </w:pPr>
      <w:r w:rsidRPr="00797159">
        <w:rPr>
          <w:rFonts w:ascii="Times New Roman" w:hAnsi="Times New Roman" w:cs="Times New Roman"/>
        </w:rPr>
        <w:t>Table 1: Clustering evaluation metrics across different K values</w:t>
      </w:r>
    </w:p>
    <w:p w14:paraId="35C85E06"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Based on these metrics, K=2 emerged as the optimal choice, showing the highest Silhouette Score and lowest Davies-Bouldin Index. This indicates that the music dataset naturally separates into two distinct groups.</w:t>
      </w:r>
    </w:p>
    <w:p w14:paraId="7CCAA032" w14:textId="77777777" w:rsidR="00797159" w:rsidRDefault="00797159" w:rsidP="00797159">
      <w:pPr>
        <w:ind w:left="1303" w:right="1303"/>
        <w:jc w:val="both"/>
        <w:rPr>
          <w:rFonts w:ascii="Times New Roman" w:hAnsi="Times New Roman" w:cs="Times New Roman"/>
        </w:rPr>
      </w:pPr>
    </w:p>
    <w:p w14:paraId="6F10D28C" w14:textId="77777777" w:rsidR="00797159" w:rsidRDefault="00797159" w:rsidP="00797159">
      <w:pPr>
        <w:ind w:left="1303" w:right="1303"/>
        <w:jc w:val="both"/>
        <w:rPr>
          <w:rFonts w:ascii="Times New Roman" w:hAnsi="Times New Roman" w:cs="Times New Roman"/>
        </w:rPr>
      </w:pPr>
    </w:p>
    <w:p w14:paraId="4F1EE62D" w14:textId="71DEBE99" w:rsidR="00797159" w:rsidRDefault="00797159" w:rsidP="00797159">
      <w:pPr>
        <w:ind w:left="1303" w:right="1303"/>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06F60FDC" wp14:editId="2807C278">
            <wp:simplePos x="0" y="0"/>
            <wp:positionH relativeFrom="margin">
              <wp:align>right</wp:align>
            </wp:positionH>
            <wp:positionV relativeFrom="paragraph">
              <wp:posOffset>-6985</wp:posOffset>
            </wp:positionV>
            <wp:extent cx="5525770" cy="2697480"/>
            <wp:effectExtent l="0" t="0" r="0" b="7620"/>
            <wp:wrapNone/>
            <wp:docPr id="103559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650" name="Picture 1035593650"/>
                    <pic:cNvPicPr/>
                  </pic:nvPicPr>
                  <pic:blipFill>
                    <a:blip r:embed="rId5">
                      <a:extLst>
                        <a:ext uri="{28A0092B-C50C-407E-A947-70E740481C1C}">
                          <a14:useLocalDpi xmlns:a14="http://schemas.microsoft.com/office/drawing/2010/main" val="0"/>
                        </a:ext>
                      </a:extLst>
                    </a:blip>
                    <a:stretch>
                      <a:fillRect/>
                    </a:stretch>
                  </pic:blipFill>
                  <pic:spPr>
                    <a:xfrm>
                      <a:off x="0" y="0"/>
                      <a:ext cx="5525770" cy="2697480"/>
                    </a:xfrm>
                    <a:prstGeom prst="rect">
                      <a:avLst/>
                    </a:prstGeom>
                  </pic:spPr>
                </pic:pic>
              </a:graphicData>
            </a:graphic>
            <wp14:sizeRelH relativeFrom="margin">
              <wp14:pctWidth>0</wp14:pctWidth>
            </wp14:sizeRelH>
            <wp14:sizeRelV relativeFrom="margin">
              <wp14:pctHeight>0</wp14:pctHeight>
            </wp14:sizeRelV>
          </wp:anchor>
        </w:drawing>
      </w:r>
    </w:p>
    <w:p w14:paraId="649EBC6A" w14:textId="2AD086C7" w:rsidR="00797159" w:rsidRDefault="00797159" w:rsidP="00797159">
      <w:pPr>
        <w:ind w:left="1303" w:right="1303"/>
        <w:jc w:val="both"/>
        <w:rPr>
          <w:rFonts w:ascii="Times New Roman" w:hAnsi="Times New Roman" w:cs="Times New Roman"/>
        </w:rPr>
      </w:pPr>
    </w:p>
    <w:p w14:paraId="32805AB9" w14:textId="69F6C0E8" w:rsidR="00797159" w:rsidRDefault="00797159" w:rsidP="00797159">
      <w:pPr>
        <w:ind w:left="1303" w:right="1303"/>
        <w:jc w:val="both"/>
        <w:rPr>
          <w:rFonts w:ascii="Times New Roman" w:hAnsi="Times New Roman" w:cs="Times New Roman"/>
        </w:rPr>
      </w:pPr>
    </w:p>
    <w:p w14:paraId="0C4A00E2" w14:textId="3FC6830B" w:rsidR="00797159" w:rsidRDefault="00797159" w:rsidP="00797159">
      <w:pPr>
        <w:ind w:left="1303" w:right="1303"/>
        <w:jc w:val="both"/>
        <w:rPr>
          <w:rFonts w:ascii="Times New Roman" w:hAnsi="Times New Roman" w:cs="Times New Roman"/>
        </w:rPr>
      </w:pPr>
    </w:p>
    <w:p w14:paraId="2B99C45B" w14:textId="402B940D" w:rsidR="00797159" w:rsidRDefault="00797159" w:rsidP="00797159">
      <w:pPr>
        <w:ind w:left="1303" w:right="1303"/>
        <w:jc w:val="both"/>
        <w:rPr>
          <w:rFonts w:ascii="Times New Roman" w:hAnsi="Times New Roman" w:cs="Times New Roman"/>
        </w:rPr>
      </w:pPr>
    </w:p>
    <w:p w14:paraId="5DD21E3E" w14:textId="25456274" w:rsidR="00797159" w:rsidRDefault="00797159" w:rsidP="00797159">
      <w:pPr>
        <w:ind w:left="1303" w:right="1303"/>
        <w:jc w:val="both"/>
        <w:rPr>
          <w:rFonts w:ascii="Times New Roman" w:hAnsi="Times New Roman" w:cs="Times New Roman"/>
        </w:rPr>
      </w:pPr>
    </w:p>
    <w:p w14:paraId="674A0735" w14:textId="40FC8469" w:rsidR="00797159" w:rsidRDefault="00797159" w:rsidP="00797159">
      <w:pPr>
        <w:ind w:left="1303" w:right="1303"/>
        <w:jc w:val="both"/>
        <w:rPr>
          <w:rFonts w:ascii="Times New Roman" w:hAnsi="Times New Roman" w:cs="Times New Roman"/>
        </w:rPr>
      </w:pPr>
    </w:p>
    <w:p w14:paraId="01A3018A" w14:textId="7FF7BD31" w:rsidR="00797159" w:rsidRDefault="00797159" w:rsidP="00797159">
      <w:pPr>
        <w:ind w:left="1303" w:right="1303"/>
        <w:jc w:val="both"/>
        <w:rPr>
          <w:rFonts w:ascii="Times New Roman" w:hAnsi="Times New Roman" w:cs="Times New Roman"/>
        </w:rPr>
      </w:pPr>
    </w:p>
    <w:p w14:paraId="4C1544D1" w14:textId="47AE2CCF" w:rsidR="00797159" w:rsidRDefault="00797159" w:rsidP="00797159">
      <w:pPr>
        <w:ind w:left="1303" w:right="1303"/>
        <w:jc w:val="both"/>
        <w:rPr>
          <w:rFonts w:ascii="Times New Roman" w:hAnsi="Times New Roman" w:cs="Times New Roman"/>
        </w:rPr>
      </w:pPr>
    </w:p>
    <w:p w14:paraId="34DFEF7B" w14:textId="37A59161" w:rsidR="00797159" w:rsidRDefault="00797159" w:rsidP="00797159">
      <w:pPr>
        <w:ind w:left="1303" w:right="1303"/>
        <w:jc w:val="both"/>
        <w:rPr>
          <w:rFonts w:ascii="Times New Roman" w:hAnsi="Times New Roman" w:cs="Times New Roman"/>
        </w:rPr>
      </w:pPr>
    </w:p>
    <w:p w14:paraId="3EA26153" w14:textId="077C603D" w:rsidR="00797159" w:rsidRDefault="00797159" w:rsidP="00797159">
      <w:pPr>
        <w:ind w:left="1303" w:right="1303"/>
        <w:jc w:val="both"/>
        <w:rPr>
          <w:rFonts w:ascii="Times New Roman" w:hAnsi="Times New Roman" w:cs="Times New Roman"/>
        </w:rPr>
      </w:pPr>
    </w:p>
    <w:p w14:paraId="1F84F047" w14:textId="77777777" w:rsidR="00797159" w:rsidRDefault="00797159" w:rsidP="00797159">
      <w:pPr>
        <w:ind w:left="1303" w:right="1303"/>
        <w:jc w:val="both"/>
        <w:rPr>
          <w:rFonts w:ascii="Times New Roman" w:hAnsi="Times New Roman" w:cs="Times New Roman"/>
        </w:rPr>
      </w:pPr>
    </w:p>
    <w:p w14:paraId="369654C1" w14:textId="77777777" w:rsidR="00797159" w:rsidRDefault="00797159" w:rsidP="00797159">
      <w:pPr>
        <w:jc w:val="center"/>
        <w:rPr>
          <w:rFonts w:ascii="Times New Roman" w:hAnsi="Times New Roman" w:cs="Times New Roman"/>
        </w:rPr>
      </w:pPr>
    </w:p>
    <w:p w14:paraId="7375FCFF" w14:textId="4CBC30F0" w:rsidR="00797159" w:rsidRPr="00797159" w:rsidRDefault="00797159" w:rsidP="00797159">
      <w:pPr>
        <w:jc w:val="center"/>
        <w:rPr>
          <w:rFonts w:ascii="Times New Roman" w:hAnsi="Times New Roman" w:cs="Times New Roman"/>
        </w:rPr>
      </w:pPr>
      <w:r w:rsidRPr="00797159">
        <w:rPr>
          <w:rFonts w:ascii="Times New Roman" w:hAnsi="Times New Roman" w:cs="Times New Roman"/>
        </w:rPr>
        <w:t>Figure 1: Silhouette Score across different K values showing optimal performance at K=2</w:t>
      </w:r>
    </w:p>
    <w:p w14:paraId="62CBEF88" w14:textId="1940F427" w:rsidR="0057214F" w:rsidRPr="00797159" w:rsidRDefault="00797159" w:rsidP="00797159">
      <w:pPr>
        <w:ind w:left="1303" w:right="1303"/>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59DDFFFF" wp14:editId="5B8AB823">
            <wp:simplePos x="0" y="0"/>
            <wp:positionH relativeFrom="margin">
              <wp:posOffset>92075</wp:posOffset>
            </wp:positionH>
            <wp:positionV relativeFrom="paragraph">
              <wp:posOffset>224790</wp:posOffset>
            </wp:positionV>
            <wp:extent cx="5518150" cy="2537460"/>
            <wp:effectExtent l="0" t="0" r="6350" b="0"/>
            <wp:wrapNone/>
            <wp:docPr id="125779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2349" name="Picture 1257792349"/>
                    <pic:cNvPicPr/>
                  </pic:nvPicPr>
                  <pic:blipFill>
                    <a:blip r:embed="rId6">
                      <a:extLst>
                        <a:ext uri="{28A0092B-C50C-407E-A947-70E740481C1C}">
                          <a14:useLocalDpi xmlns:a14="http://schemas.microsoft.com/office/drawing/2010/main" val="0"/>
                        </a:ext>
                      </a:extLst>
                    </a:blip>
                    <a:stretch>
                      <a:fillRect/>
                    </a:stretch>
                  </pic:blipFill>
                  <pic:spPr>
                    <a:xfrm>
                      <a:off x="0" y="0"/>
                      <a:ext cx="5518150" cy="2537460"/>
                    </a:xfrm>
                    <a:prstGeom prst="rect">
                      <a:avLst/>
                    </a:prstGeom>
                  </pic:spPr>
                </pic:pic>
              </a:graphicData>
            </a:graphic>
            <wp14:sizeRelV relativeFrom="margin">
              <wp14:pctHeight>0</wp14:pctHeight>
            </wp14:sizeRelV>
          </wp:anchor>
        </w:drawing>
      </w:r>
      <w:r w:rsidR="00000000" w:rsidRPr="00797159">
        <w:rPr>
          <w:rFonts w:ascii="Times New Roman" w:hAnsi="Times New Roman" w:cs="Times New Roman"/>
          <w:noProof/>
        </w:rPr>
        <w:drawing>
          <wp:inline distT="0" distB="0" distL="0" distR="0" wp14:anchorId="10B6A7F3" wp14:editId="4A55C9E0">
            <wp:extent cx="666750" cy="666750"/>
            <wp:effectExtent l="0" t="0" r="0" b="0"/>
            <wp:docPr id="1" name="image-not-found.png"/>
            <wp:cNvGraphicFramePr/>
            <a:graphic xmlns:a="http://schemas.openxmlformats.org/drawingml/2006/main">
              <a:graphicData uri="http://schemas.openxmlformats.org/drawingml/2006/picture">
                <pic:pic xmlns:pic="http://schemas.openxmlformats.org/drawingml/2006/picture">
                  <pic:nvPicPr>
                    <pic:cNvPr id="1" name="image-not-found.png"/>
                    <pic:cNvPicPr/>
                  </pic:nvPicPr>
                  <pic:blipFill>
                    <a:blip r:embed="rId7" cstate="print"/>
                    <a:srcRect/>
                    <a:stretch>
                      <a:fillRect/>
                    </a:stretch>
                  </pic:blipFill>
                  <pic:spPr>
                    <a:xfrm>
                      <a:off x="0" y="0"/>
                      <a:ext cx="666750" cy="666750"/>
                    </a:xfrm>
                    <a:prstGeom prst="rect">
                      <a:avLst/>
                    </a:prstGeom>
                  </pic:spPr>
                </pic:pic>
              </a:graphicData>
            </a:graphic>
          </wp:inline>
        </w:drawing>
      </w:r>
    </w:p>
    <w:p w14:paraId="789BC663" w14:textId="77777777" w:rsidR="00797159" w:rsidRDefault="00797159" w:rsidP="00797159">
      <w:pPr>
        <w:jc w:val="both"/>
        <w:rPr>
          <w:rFonts w:ascii="Times New Roman" w:hAnsi="Times New Roman" w:cs="Times New Roman"/>
        </w:rPr>
      </w:pPr>
    </w:p>
    <w:p w14:paraId="01682EDB" w14:textId="77777777" w:rsidR="00797159" w:rsidRDefault="00797159" w:rsidP="00797159">
      <w:pPr>
        <w:jc w:val="both"/>
        <w:rPr>
          <w:rFonts w:ascii="Times New Roman" w:hAnsi="Times New Roman" w:cs="Times New Roman"/>
        </w:rPr>
      </w:pPr>
    </w:p>
    <w:p w14:paraId="11E9C786" w14:textId="77777777" w:rsidR="00797159" w:rsidRDefault="00797159" w:rsidP="00797159">
      <w:pPr>
        <w:jc w:val="both"/>
        <w:rPr>
          <w:rFonts w:ascii="Times New Roman" w:hAnsi="Times New Roman" w:cs="Times New Roman"/>
        </w:rPr>
      </w:pPr>
    </w:p>
    <w:p w14:paraId="7866C1A1" w14:textId="77777777" w:rsidR="00797159" w:rsidRDefault="00797159" w:rsidP="00797159">
      <w:pPr>
        <w:jc w:val="both"/>
        <w:rPr>
          <w:rFonts w:ascii="Times New Roman" w:hAnsi="Times New Roman" w:cs="Times New Roman"/>
        </w:rPr>
      </w:pPr>
    </w:p>
    <w:p w14:paraId="602F4E38" w14:textId="77777777" w:rsidR="00797159" w:rsidRDefault="00797159" w:rsidP="00797159">
      <w:pPr>
        <w:jc w:val="both"/>
        <w:rPr>
          <w:rFonts w:ascii="Times New Roman" w:hAnsi="Times New Roman" w:cs="Times New Roman"/>
        </w:rPr>
      </w:pPr>
    </w:p>
    <w:p w14:paraId="3F182575" w14:textId="77777777" w:rsidR="00797159" w:rsidRDefault="00797159" w:rsidP="00797159">
      <w:pPr>
        <w:jc w:val="both"/>
        <w:rPr>
          <w:rFonts w:ascii="Times New Roman" w:hAnsi="Times New Roman" w:cs="Times New Roman"/>
        </w:rPr>
      </w:pPr>
    </w:p>
    <w:p w14:paraId="71CFF34D" w14:textId="77777777" w:rsidR="00797159" w:rsidRDefault="00797159" w:rsidP="00797159">
      <w:pPr>
        <w:jc w:val="both"/>
        <w:rPr>
          <w:rFonts w:ascii="Times New Roman" w:hAnsi="Times New Roman" w:cs="Times New Roman"/>
        </w:rPr>
      </w:pPr>
    </w:p>
    <w:p w14:paraId="42EACDED" w14:textId="77777777" w:rsidR="00797159" w:rsidRDefault="00797159" w:rsidP="00797159">
      <w:pPr>
        <w:jc w:val="both"/>
        <w:rPr>
          <w:rFonts w:ascii="Times New Roman" w:hAnsi="Times New Roman" w:cs="Times New Roman"/>
        </w:rPr>
      </w:pPr>
    </w:p>
    <w:p w14:paraId="7F6730D0" w14:textId="77777777" w:rsidR="00797159" w:rsidRDefault="00797159" w:rsidP="00797159">
      <w:pPr>
        <w:jc w:val="both"/>
        <w:rPr>
          <w:rFonts w:ascii="Times New Roman" w:hAnsi="Times New Roman" w:cs="Times New Roman"/>
        </w:rPr>
      </w:pPr>
    </w:p>
    <w:p w14:paraId="00FC81BB" w14:textId="77777777" w:rsidR="00797159" w:rsidRDefault="00797159" w:rsidP="00797159">
      <w:pPr>
        <w:jc w:val="center"/>
        <w:rPr>
          <w:rFonts w:ascii="Times New Roman" w:hAnsi="Times New Roman" w:cs="Times New Roman"/>
        </w:rPr>
      </w:pPr>
    </w:p>
    <w:p w14:paraId="4DC193ED" w14:textId="6AAE3BA1" w:rsidR="00797159" w:rsidRPr="00797159" w:rsidRDefault="00797159" w:rsidP="00797159">
      <w:pPr>
        <w:jc w:val="center"/>
        <w:rPr>
          <w:rFonts w:ascii="Times New Roman" w:hAnsi="Times New Roman" w:cs="Times New Roman"/>
        </w:rPr>
      </w:pPr>
      <w:r w:rsidRPr="00797159">
        <w:rPr>
          <w:rFonts w:ascii="Times New Roman" w:hAnsi="Times New Roman" w:cs="Times New Roman"/>
        </w:rPr>
        <w:t>Figure 2: Davies-Bouldin Index across different K values confirming K=2 as optimal</w:t>
      </w:r>
    </w:p>
    <w:p w14:paraId="108ACEAE" w14:textId="77777777" w:rsidR="00797159" w:rsidRDefault="00797159" w:rsidP="00797159">
      <w:pPr>
        <w:jc w:val="center"/>
        <w:rPr>
          <w:rFonts w:ascii="Times New Roman" w:hAnsi="Times New Roman" w:cs="Times New Roman"/>
        </w:rPr>
      </w:pPr>
    </w:p>
    <w:p w14:paraId="5741F3A4" w14:textId="1C6E024D" w:rsidR="0057214F" w:rsidRPr="00797159" w:rsidRDefault="00000000" w:rsidP="00797159">
      <w:pPr>
        <w:spacing w:before="240" w:line="271" w:lineRule="auto"/>
        <w:jc w:val="both"/>
        <w:rPr>
          <w:rFonts w:ascii="Times New Roman" w:hAnsi="Times New Roman" w:cs="Times New Roman"/>
        </w:rPr>
      </w:pPr>
      <w:bookmarkStart w:id="8" w:name="dimensionality_reduction"/>
      <w:r w:rsidRPr="00797159">
        <w:rPr>
          <w:rFonts w:ascii="Times New Roman" w:hAnsi="Times New Roman" w:cs="Times New Roman"/>
          <w:b/>
          <w:sz w:val="33"/>
        </w:rPr>
        <w:t>Dimensionality Reduction</w:t>
      </w:r>
      <w:bookmarkEnd w:id="8"/>
    </w:p>
    <w:p w14:paraId="182CC4C1"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Principal Component Analysis (PCA) was applied to reduce the feature space to two dimensions for visualization purposes. This allowed for effective plotting of the clusters while retaining the essential variance in the data.</w:t>
      </w:r>
    </w:p>
    <w:p w14:paraId="1738AC85" w14:textId="77777777" w:rsidR="00797159" w:rsidRDefault="00797159" w:rsidP="00797159">
      <w:pPr>
        <w:spacing w:before="240" w:line="271" w:lineRule="auto"/>
        <w:jc w:val="both"/>
        <w:rPr>
          <w:rFonts w:ascii="Times New Roman" w:hAnsi="Times New Roman" w:cs="Times New Roman"/>
          <w:b/>
          <w:sz w:val="42"/>
        </w:rPr>
      </w:pPr>
      <w:bookmarkStart w:id="9" w:name="results"/>
    </w:p>
    <w:p w14:paraId="0884E25B" w14:textId="743F33BE" w:rsidR="0057214F" w:rsidRPr="00797159" w:rsidRDefault="00000000" w:rsidP="00797159">
      <w:pPr>
        <w:spacing w:before="240" w:line="271" w:lineRule="auto"/>
        <w:jc w:val="both"/>
        <w:rPr>
          <w:rFonts w:ascii="Times New Roman" w:hAnsi="Times New Roman" w:cs="Times New Roman"/>
        </w:rPr>
      </w:pPr>
      <w:r w:rsidRPr="00797159">
        <w:rPr>
          <w:rFonts w:ascii="Times New Roman" w:hAnsi="Times New Roman" w:cs="Times New Roman"/>
          <w:b/>
          <w:sz w:val="42"/>
        </w:rPr>
        <w:lastRenderedPageBreak/>
        <w:t>Results</w:t>
      </w:r>
      <w:bookmarkEnd w:id="9"/>
    </w:p>
    <w:p w14:paraId="6CEC600C" w14:textId="77777777" w:rsidR="0057214F" w:rsidRPr="00797159" w:rsidRDefault="00000000" w:rsidP="00797159">
      <w:pPr>
        <w:spacing w:before="240" w:line="271" w:lineRule="auto"/>
        <w:jc w:val="both"/>
        <w:rPr>
          <w:rFonts w:ascii="Times New Roman" w:hAnsi="Times New Roman" w:cs="Times New Roman"/>
        </w:rPr>
      </w:pPr>
      <w:bookmarkStart w:id="10" w:name="cluster_distribution"/>
      <w:r w:rsidRPr="00797159">
        <w:rPr>
          <w:rFonts w:ascii="Times New Roman" w:hAnsi="Times New Roman" w:cs="Times New Roman"/>
          <w:b/>
          <w:sz w:val="33"/>
        </w:rPr>
        <w:t>Cluster Distribution</w:t>
      </w:r>
      <w:bookmarkEnd w:id="10"/>
    </w:p>
    <w:p w14:paraId="432DA5E5"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K-Means algorithm with K=2 produced two clusters with the following distribution:</w:t>
      </w:r>
    </w:p>
    <w:p w14:paraId="49420DA5" w14:textId="77777777" w:rsidR="0057214F" w:rsidRPr="00797159" w:rsidRDefault="00000000" w:rsidP="00797159">
      <w:pPr>
        <w:numPr>
          <w:ilvl w:val="0"/>
          <w:numId w:val="2"/>
        </w:numPr>
        <w:jc w:val="both"/>
        <w:rPr>
          <w:rFonts w:ascii="Times New Roman" w:hAnsi="Times New Roman" w:cs="Times New Roman"/>
        </w:rPr>
      </w:pPr>
      <w:r w:rsidRPr="00797159">
        <w:rPr>
          <w:rFonts w:ascii="Times New Roman" w:hAnsi="Times New Roman" w:cs="Times New Roman"/>
          <w:b/>
        </w:rPr>
        <w:t>Cluster 0</w:t>
      </w:r>
      <w:r w:rsidRPr="00797159">
        <w:rPr>
          <w:rFonts w:ascii="Times New Roman" w:hAnsi="Times New Roman" w:cs="Times New Roman"/>
        </w:rPr>
        <w:t>: 1,534 tracks (17.1% of dataset)</w:t>
      </w:r>
    </w:p>
    <w:p w14:paraId="0612496A" w14:textId="77777777" w:rsidR="0057214F" w:rsidRPr="00797159" w:rsidRDefault="00000000" w:rsidP="00797159">
      <w:pPr>
        <w:numPr>
          <w:ilvl w:val="0"/>
          <w:numId w:val="2"/>
        </w:numPr>
        <w:jc w:val="both"/>
        <w:rPr>
          <w:rFonts w:ascii="Times New Roman" w:hAnsi="Times New Roman" w:cs="Times New Roman"/>
        </w:rPr>
      </w:pPr>
      <w:r w:rsidRPr="00797159">
        <w:rPr>
          <w:rFonts w:ascii="Times New Roman" w:hAnsi="Times New Roman" w:cs="Times New Roman"/>
          <w:b/>
        </w:rPr>
        <w:t>Cluster 1</w:t>
      </w:r>
      <w:r w:rsidRPr="00797159">
        <w:rPr>
          <w:rFonts w:ascii="Times New Roman" w:hAnsi="Times New Roman" w:cs="Times New Roman"/>
        </w:rPr>
        <w:t>: 7,413 tracks (82.9% of dataset)</w:t>
      </w:r>
    </w:p>
    <w:p w14:paraId="06970C27"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This uneven distribution suggests that one cluster represents a more common musical profile while the other captures a specialized subset of tracks.</w:t>
      </w:r>
    </w:p>
    <w:p w14:paraId="6BB9E0D3" w14:textId="77777777" w:rsidR="0057214F" w:rsidRPr="00797159" w:rsidRDefault="00000000" w:rsidP="00797159">
      <w:pPr>
        <w:spacing w:before="240" w:line="271" w:lineRule="auto"/>
        <w:jc w:val="both"/>
        <w:rPr>
          <w:rFonts w:ascii="Times New Roman" w:hAnsi="Times New Roman" w:cs="Times New Roman"/>
        </w:rPr>
      </w:pPr>
      <w:bookmarkStart w:id="11" w:name="cluster_characteristics"/>
      <w:r w:rsidRPr="00797159">
        <w:rPr>
          <w:rFonts w:ascii="Times New Roman" w:hAnsi="Times New Roman" w:cs="Times New Roman"/>
          <w:b/>
          <w:sz w:val="33"/>
        </w:rPr>
        <w:t>Cluster Characteristics</w:t>
      </w:r>
      <w:bookmarkEnd w:id="11"/>
    </w:p>
    <w:p w14:paraId="54F2E262"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two clusters showed distinct audio profiles across all features.</w:t>
      </w:r>
    </w:p>
    <w:tbl>
      <w:tblPr>
        <w:tblStyle w:val="NormalGrid"/>
        <w:tblW w:w="0" w:type="auto"/>
        <w:jc w:val="center"/>
        <w:tblCellSpacing w:w="0" w:type="dxa"/>
        <w:tblLook w:val="04A0" w:firstRow="1" w:lastRow="0" w:firstColumn="1" w:lastColumn="0" w:noHBand="0" w:noVBand="1"/>
      </w:tblPr>
      <w:tblGrid>
        <w:gridCol w:w="2536"/>
        <w:gridCol w:w="1105"/>
        <w:gridCol w:w="1105"/>
      </w:tblGrid>
      <w:tr w:rsidR="0057214F" w:rsidRPr="00797159" w14:paraId="3CAD1C7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4E39A74"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Feature</w:t>
            </w:r>
          </w:p>
        </w:tc>
        <w:tc>
          <w:tcPr>
            <w:tcW w:w="0" w:type="auto"/>
            <w:tcBorders>
              <w:top w:val="single" w:sz="8" w:space="0" w:color="000000"/>
              <w:bottom w:val="single" w:sz="8" w:space="0" w:color="000000"/>
              <w:right w:val="single" w:sz="8" w:space="0" w:color="000000"/>
            </w:tcBorders>
            <w:vAlign w:val="center"/>
          </w:tcPr>
          <w:p w14:paraId="2AA9073E"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Cluster 0</w:t>
            </w:r>
          </w:p>
        </w:tc>
        <w:tc>
          <w:tcPr>
            <w:tcW w:w="0" w:type="auto"/>
            <w:tcBorders>
              <w:top w:val="single" w:sz="8" w:space="0" w:color="000000"/>
              <w:bottom w:val="single" w:sz="8" w:space="0" w:color="000000"/>
              <w:right w:val="single" w:sz="8" w:space="0" w:color="000000"/>
            </w:tcBorders>
            <w:vAlign w:val="center"/>
          </w:tcPr>
          <w:p w14:paraId="3187AAB8"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Cluster 1</w:t>
            </w:r>
          </w:p>
        </w:tc>
      </w:tr>
      <w:tr w:rsidR="0057214F" w:rsidRPr="00797159" w14:paraId="223365E8" w14:textId="77777777">
        <w:trPr>
          <w:cantSplit/>
          <w:tblCellSpacing w:w="0" w:type="dxa"/>
          <w:jc w:val="center"/>
        </w:trPr>
        <w:tc>
          <w:tcPr>
            <w:tcW w:w="0" w:type="auto"/>
            <w:tcBorders>
              <w:left w:val="single" w:sz="8" w:space="0" w:color="000000"/>
              <w:right w:val="single" w:sz="8" w:space="0" w:color="000000"/>
            </w:tcBorders>
            <w:vAlign w:val="center"/>
          </w:tcPr>
          <w:p w14:paraId="582A40AC"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Danceability</w:t>
            </w:r>
          </w:p>
        </w:tc>
        <w:tc>
          <w:tcPr>
            <w:tcW w:w="0" w:type="auto"/>
            <w:tcBorders>
              <w:right w:val="single" w:sz="8" w:space="0" w:color="000000"/>
            </w:tcBorders>
            <w:vAlign w:val="center"/>
          </w:tcPr>
          <w:p w14:paraId="67FFE3D8"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0.591</w:t>
            </w:r>
          </w:p>
        </w:tc>
        <w:tc>
          <w:tcPr>
            <w:tcW w:w="0" w:type="auto"/>
            <w:tcBorders>
              <w:right w:val="single" w:sz="8" w:space="0" w:color="000000"/>
            </w:tcBorders>
            <w:vAlign w:val="center"/>
          </w:tcPr>
          <w:p w14:paraId="5ED4BBBF"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0.597</w:t>
            </w:r>
          </w:p>
        </w:tc>
      </w:tr>
      <w:tr w:rsidR="0057214F" w:rsidRPr="00797159" w14:paraId="0201A79D" w14:textId="77777777">
        <w:trPr>
          <w:cantSplit/>
          <w:tblCellSpacing w:w="0" w:type="dxa"/>
          <w:jc w:val="center"/>
        </w:trPr>
        <w:tc>
          <w:tcPr>
            <w:tcW w:w="0" w:type="auto"/>
            <w:tcBorders>
              <w:left w:val="single" w:sz="8" w:space="0" w:color="000000"/>
              <w:right w:val="single" w:sz="8" w:space="0" w:color="000000"/>
            </w:tcBorders>
            <w:vAlign w:val="center"/>
          </w:tcPr>
          <w:p w14:paraId="28D92EC1"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Energy</w:t>
            </w:r>
          </w:p>
        </w:tc>
        <w:tc>
          <w:tcPr>
            <w:tcW w:w="0" w:type="auto"/>
            <w:tcBorders>
              <w:right w:val="single" w:sz="8" w:space="0" w:color="000000"/>
            </w:tcBorders>
            <w:vAlign w:val="center"/>
          </w:tcPr>
          <w:p w14:paraId="2EE361CE"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0.056</w:t>
            </w:r>
          </w:p>
        </w:tc>
        <w:tc>
          <w:tcPr>
            <w:tcW w:w="0" w:type="auto"/>
            <w:tcBorders>
              <w:right w:val="single" w:sz="8" w:space="0" w:color="000000"/>
            </w:tcBorders>
            <w:vAlign w:val="center"/>
          </w:tcPr>
          <w:p w14:paraId="642BDE7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0.358</w:t>
            </w:r>
          </w:p>
        </w:tc>
      </w:tr>
      <w:tr w:rsidR="0057214F" w:rsidRPr="00797159" w14:paraId="22ACE578" w14:textId="77777777">
        <w:trPr>
          <w:cantSplit/>
          <w:tblCellSpacing w:w="0" w:type="dxa"/>
          <w:jc w:val="center"/>
        </w:trPr>
        <w:tc>
          <w:tcPr>
            <w:tcW w:w="0" w:type="auto"/>
            <w:tcBorders>
              <w:left w:val="single" w:sz="8" w:space="0" w:color="000000"/>
              <w:right w:val="single" w:sz="8" w:space="0" w:color="000000"/>
            </w:tcBorders>
            <w:vAlign w:val="center"/>
          </w:tcPr>
          <w:p w14:paraId="1487F09A" w14:textId="77777777" w:rsidR="0057214F" w:rsidRPr="00797159" w:rsidRDefault="00000000" w:rsidP="00797159">
            <w:pPr>
              <w:jc w:val="both"/>
              <w:rPr>
                <w:rFonts w:ascii="Times New Roman" w:hAnsi="Times New Roman" w:cs="Times New Roman"/>
              </w:rPr>
            </w:pPr>
            <w:proofErr w:type="spellStart"/>
            <w:r w:rsidRPr="00797159">
              <w:rPr>
                <w:rFonts w:ascii="Times New Roman" w:hAnsi="Times New Roman" w:cs="Times New Roman"/>
              </w:rPr>
              <w:t>Acousticness</w:t>
            </w:r>
            <w:proofErr w:type="spellEnd"/>
          </w:p>
        </w:tc>
        <w:tc>
          <w:tcPr>
            <w:tcW w:w="0" w:type="auto"/>
            <w:tcBorders>
              <w:right w:val="single" w:sz="8" w:space="0" w:color="000000"/>
            </w:tcBorders>
            <w:vAlign w:val="center"/>
          </w:tcPr>
          <w:p w14:paraId="3E261120"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0.835</w:t>
            </w:r>
          </w:p>
        </w:tc>
        <w:tc>
          <w:tcPr>
            <w:tcW w:w="0" w:type="auto"/>
            <w:tcBorders>
              <w:right w:val="single" w:sz="8" w:space="0" w:color="000000"/>
            </w:tcBorders>
            <w:vAlign w:val="center"/>
          </w:tcPr>
          <w:p w14:paraId="556BC68D"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0.585</w:t>
            </w:r>
          </w:p>
        </w:tc>
      </w:tr>
      <w:tr w:rsidR="0057214F" w:rsidRPr="00797159" w14:paraId="6D1BA30C" w14:textId="77777777">
        <w:trPr>
          <w:cantSplit/>
          <w:tblCellSpacing w:w="0" w:type="dxa"/>
          <w:jc w:val="center"/>
        </w:trPr>
        <w:tc>
          <w:tcPr>
            <w:tcW w:w="0" w:type="auto"/>
            <w:tcBorders>
              <w:left w:val="single" w:sz="8" w:space="0" w:color="000000"/>
              <w:right w:val="single" w:sz="8" w:space="0" w:color="000000"/>
            </w:tcBorders>
            <w:vAlign w:val="center"/>
          </w:tcPr>
          <w:p w14:paraId="5DEBE2B1"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Valence</w:t>
            </w:r>
          </w:p>
        </w:tc>
        <w:tc>
          <w:tcPr>
            <w:tcW w:w="0" w:type="auto"/>
            <w:tcBorders>
              <w:right w:val="single" w:sz="8" w:space="0" w:color="000000"/>
            </w:tcBorders>
            <w:vAlign w:val="center"/>
          </w:tcPr>
          <w:p w14:paraId="3D647FAF"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0.498</w:t>
            </w:r>
          </w:p>
        </w:tc>
        <w:tc>
          <w:tcPr>
            <w:tcW w:w="0" w:type="auto"/>
            <w:tcBorders>
              <w:right w:val="single" w:sz="8" w:space="0" w:color="000000"/>
            </w:tcBorders>
            <w:vAlign w:val="center"/>
          </w:tcPr>
          <w:p w14:paraId="53833F2E"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0.497</w:t>
            </w:r>
          </w:p>
        </w:tc>
      </w:tr>
      <w:tr w:rsidR="0057214F" w:rsidRPr="00797159" w14:paraId="632094F8" w14:textId="77777777">
        <w:trPr>
          <w:cantSplit/>
          <w:tblCellSpacing w:w="0" w:type="dxa"/>
          <w:jc w:val="center"/>
        </w:trPr>
        <w:tc>
          <w:tcPr>
            <w:tcW w:w="0" w:type="auto"/>
            <w:tcBorders>
              <w:left w:val="single" w:sz="8" w:space="0" w:color="000000"/>
              <w:right w:val="single" w:sz="8" w:space="0" w:color="000000"/>
            </w:tcBorders>
            <w:vAlign w:val="center"/>
          </w:tcPr>
          <w:p w14:paraId="584AED4F"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Tempo (BPM)</w:t>
            </w:r>
          </w:p>
        </w:tc>
        <w:tc>
          <w:tcPr>
            <w:tcW w:w="0" w:type="auto"/>
            <w:tcBorders>
              <w:right w:val="single" w:sz="8" w:space="0" w:color="000000"/>
            </w:tcBorders>
            <w:vAlign w:val="center"/>
          </w:tcPr>
          <w:p w14:paraId="4D7EC38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118.1</w:t>
            </w:r>
          </w:p>
        </w:tc>
        <w:tc>
          <w:tcPr>
            <w:tcW w:w="0" w:type="auto"/>
            <w:tcBorders>
              <w:right w:val="single" w:sz="8" w:space="0" w:color="000000"/>
            </w:tcBorders>
            <w:vAlign w:val="center"/>
          </w:tcPr>
          <w:p w14:paraId="13208F27"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118.5</w:t>
            </w:r>
          </w:p>
        </w:tc>
      </w:tr>
      <w:tr w:rsidR="0057214F" w:rsidRPr="00797159" w14:paraId="772DAA3C" w14:textId="77777777">
        <w:trPr>
          <w:cantSplit/>
          <w:tblCellSpacing w:w="0" w:type="dxa"/>
          <w:jc w:val="center"/>
        </w:trPr>
        <w:tc>
          <w:tcPr>
            <w:tcW w:w="0" w:type="auto"/>
            <w:tcBorders>
              <w:left w:val="single" w:sz="8" w:space="0" w:color="000000"/>
              <w:right w:val="single" w:sz="8" w:space="0" w:color="000000"/>
            </w:tcBorders>
            <w:vAlign w:val="center"/>
          </w:tcPr>
          <w:p w14:paraId="73FFEB1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Loudness (dB)</w:t>
            </w:r>
          </w:p>
        </w:tc>
        <w:tc>
          <w:tcPr>
            <w:tcW w:w="0" w:type="auto"/>
            <w:tcBorders>
              <w:right w:val="single" w:sz="8" w:space="0" w:color="000000"/>
            </w:tcBorders>
            <w:vAlign w:val="center"/>
          </w:tcPr>
          <w:p w14:paraId="3BEA10D8"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-7.22</w:t>
            </w:r>
          </w:p>
        </w:tc>
        <w:tc>
          <w:tcPr>
            <w:tcW w:w="0" w:type="auto"/>
            <w:tcBorders>
              <w:right w:val="single" w:sz="8" w:space="0" w:color="000000"/>
            </w:tcBorders>
            <w:vAlign w:val="center"/>
          </w:tcPr>
          <w:p w14:paraId="1D94F953"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-7.04</w:t>
            </w:r>
          </w:p>
        </w:tc>
      </w:tr>
      <w:tr w:rsidR="0057214F" w:rsidRPr="00797159" w14:paraId="4582CEBE" w14:textId="77777777">
        <w:trPr>
          <w:cantSplit/>
          <w:tblCellSpacing w:w="0" w:type="dxa"/>
          <w:jc w:val="center"/>
        </w:trPr>
        <w:tc>
          <w:tcPr>
            <w:tcW w:w="0" w:type="auto"/>
            <w:tcBorders>
              <w:left w:val="single" w:sz="8" w:space="0" w:color="000000"/>
              <w:right w:val="single" w:sz="8" w:space="0" w:color="000000"/>
            </w:tcBorders>
            <w:vAlign w:val="center"/>
          </w:tcPr>
          <w:p w14:paraId="2DE8ABC5" w14:textId="77777777" w:rsidR="0057214F" w:rsidRPr="00797159" w:rsidRDefault="00000000" w:rsidP="00797159">
            <w:pPr>
              <w:jc w:val="both"/>
              <w:rPr>
                <w:rFonts w:ascii="Times New Roman" w:hAnsi="Times New Roman" w:cs="Times New Roman"/>
              </w:rPr>
            </w:pPr>
            <w:proofErr w:type="spellStart"/>
            <w:r w:rsidRPr="00797159">
              <w:rPr>
                <w:rFonts w:ascii="Times New Roman" w:hAnsi="Times New Roman" w:cs="Times New Roman"/>
              </w:rPr>
              <w:t>Speechiness</w:t>
            </w:r>
            <w:proofErr w:type="spellEnd"/>
          </w:p>
        </w:tc>
        <w:tc>
          <w:tcPr>
            <w:tcW w:w="0" w:type="auto"/>
            <w:tcBorders>
              <w:right w:val="single" w:sz="8" w:space="0" w:color="000000"/>
            </w:tcBorders>
            <w:vAlign w:val="center"/>
          </w:tcPr>
          <w:p w14:paraId="521274AA"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0.077</w:t>
            </w:r>
          </w:p>
        </w:tc>
        <w:tc>
          <w:tcPr>
            <w:tcW w:w="0" w:type="auto"/>
            <w:tcBorders>
              <w:right w:val="single" w:sz="8" w:space="0" w:color="000000"/>
            </w:tcBorders>
            <w:vAlign w:val="center"/>
          </w:tcPr>
          <w:p w14:paraId="29127E44"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0.075</w:t>
            </w:r>
          </w:p>
        </w:tc>
      </w:tr>
      <w:tr w:rsidR="0057214F" w:rsidRPr="00797159" w14:paraId="41D44C53" w14:textId="77777777">
        <w:trPr>
          <w:cantSplit/>
          <w:tblCellSpacing w:w="0" w:type="dxa"/>
          <w:jc w:val="center"/>
        </w:trPr>
        <w:tc>
          <w:tcPr>
            <w:tcW w:w="0" w:type="auto"/>
            <w:tcBorders>
              <w:left w:val="single" w:sz="8" w:space="0" w:color="000000"/>
              <w:right w:val="single" w:sz="8" w:space="0" w:color="000000"/>
            </w:tcBorders>
            <w:vAlign w:val="center"/>
          </w:tcPr>
          <w:p w14:paraId="46423946"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Liveness</w:t>
            </w:r>
          </w:p>
        </w:tc>
        <w:tc>
          <w:tcPr>
            <w:tcW w:w="0" w:type="auto"/>
            <w:tcBorders>
              <w:right w:val="single" w:sz="8" w:space="0" w:color="000000"/>
            </w:tcBorders>
            <w:vAlign w:val="center"/>
          </w:tcPr>
          <w:p w14:paraId="759BFBA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0.147</w:t>
            </w:r>
          </w:p>
        </w:tc>
        <w:tc>
          <w:tcPr>
            <w:tcW w:w="0" w:type="auto"/>
            <w:tcBorders>
              <w:right w:val="single" w:sz="8" w:space="0" w:color="000000"/>
            </w:tcBorders>
            <w:vAlign w:val="center"/>
          </w:tcPr>
          <w:p w14:paraId="7C11617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0.150</w:t>
            </w:r>
          </w:p>
        </w:tc>
      </w:tr>
      <w:tr w:rsidR="0057214F" w:rsidRPr="00797159" w14:paraId="152EF8E6" w14:textId="77777777">
        <w:trPr>
          <w:cantSplit/>
          <w:tblCellSpacing w:w="0" w:type="dxa"/>
          <w:jc w:val="center"/>
        </w:trPr>
        <w:tc>
          <w:tcPr>
            <w:tcW w:w="0" w:type="auto"/>
            <w:tcBorders>
              <w:left w:val="single" w:sz="8" w:space="0" w:color="000000"/>
              <w:right w:val="single" w:sz="8" w:space="0" w:color="000000"/>
            </w:tcBorders>
            <w:vAlign w:val="center"/>
          </w:tcPr>
          <w:p w14:paraId="0880D403"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Duration (</w:t>
            </w:r>
            <w:proofErr w:type="spellStart"/>
            <w:r w:rsidRPr="00797159">
              <w:rPr>
                <w:rFonts w:ascii="Times New Roman" w:hAnsi="Times New Roman" w:cs="Times New Roman"/>
              </w:rPr>
              <w:t>ms</w:t>
            </w:r>
            <w:proofErr w:type="spellEnd"/>
            <w:r w:rsidRPr="00797159">
              <w:rPr>
                <w:rFonts w:ascii="Times New Roman" w:hAnsi="Times New Roman" w:cs="Times New Roman"/>
              </w:rPr>
              <w:t>)</w:t>
            </w:r>
          </w:p>
        </w:tc>
        <w:tc>
          <w:tcPr>
            <w:tcW w:w="0" w:type="auto"/>
            <w:tcBorders>
              <w:right w:val="single" w:sz="8" w:space="0" w:color="000000"/>
            </w:tcBorders>
            <w:vAlign w:val="center"/>
          </w:tcPr>
          <w:p w14:paraId="515231FC"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214,304</w:t>
            </w:r>
          </w:p>
        </w:tc>
        <w:tc>
          <w:tcPr>
            <w:tcW w:w="0" w:type="auto"/>
            <w:tcBorders>
              <w:right w:val="single" w:sz="8" w:space="0" w:color="000000"/>
            </w:tcBorders>
            <w:vAlign w:val="center"/>
          </w:tcPr>
          <w:p w14:paraId="5954618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212,493</w:t>
            </w:r>
          </w:p>
        </w:tc>
      </w:tr>
      <w:tr w:rsidR="0057214F" w:rsidRPr="00797159" w14:paraId="21CA4FB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60F5C82"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Acoustic/Electronic Ratio</w:t>
            </w:r>
          </w:p>
        </w:tc>
        <w:tc>
          <w:tcPr>
            <w:tcW w:w="0" w:type="auto"/>
            <w:tcBorders>
              <w:bottom w:val="single" w:sz="8" w:space="0" w:color="000000"/>
              <w:right w:val="single" w:sz="8" w:space="0" w:color="000000"/>
            </w:tcBorders>
            <w:vAlign w:val="center"/>
          </w:tcPr>
          <w:p w14:paraId="565CAF9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3.446</w:t>
            </w:r>
          </w:p>
        </w:tc>
        <w:tc>
          <w:tcPr>
            <w:tcW w:w="0" w:type="auto"/>
            <w:tcBorders>
              <w:bottom w:val="single" w:sz="8" w:space="0" w:color="000000"/>
              <w:right w:val="single" w:sz="8" w:space="0" w:color="000000"/>
            </w:tcBorders>
            <w:vAlign w:val="center"/>
          </w:tcPr>
          <w:p w14:paraId="3CC9B8FB" w14:textId="77777777" w:rsidR="0057214F" w:rsidRPr="00797159" w:rsidRDefault="00000000" w:rsidP="00797159">
            <w:pPr>
              <w:jc w:val="both"/>
              <w:rPr>
                <w:rFonts w:ascii="Times New Roman" w:hAnsi="Times New Roman" w:cs="Times New Roman"/>
              </w:rPr>
            </w:pPr>
            <w:r w:rsidRPr="00797159">
              <w:rPr>
                <w:rFonts w:ascii="Times New Roman" w:hAnsi="Times New Roman" w:cs="Times New Roman"/>
              </w:rPr>
              <w:t>1.043</w:t>
            </w:r>
          </w:p>
        </w:tc>
      </w:tr>
    </w:tbl>
    <w:p w14:paraId="696049AF" w14:textId="77777777" w:rsidR="0057214F" w:rsidRPr="00797159" w:rsidRDefault="0057214F" w:rsidP="00797159">
      <w:pPr>
        <w:jc w:val="both"/>
        <w:rPr>
          <w:rFonts w:ascii="Times New Roman" w:hAnsi="Times New Roman" w:cs="Times New Roman"/>
        </w:rPr>
      </w:pPr>
    </w:p>
    <w:p w14:paraId="2DF7BF9A" w14:textId="77777777" w:rsidR="0057214F" w:rsidRPr="00797159" w:rsidRDefault="00000000" w:rsidP="00797159">
      <w:pPr>
        <w:jc w:val="center"/>
        <w:rPr>
          <w:rFonts w:ascii="Times New Roman" w:hAnsi="Times New Roman" w:cs="Times New Roman"/>
        </w:rPr>
      </w:pPr>
      <w:r w:rsidRPr="00797159">
        <w:rPr>
          <w:rFonts w:ascii="Times New Roman" w:hAnsi="Times New Roman" w:cs="Times New Roman"/>
        </w:rPr>
        <w:t>Table 2: Average feature values by cluster</w:t>
      </w:r>
    </w:p>
    <w:p w14:paraId="147E488C"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b/>
        </w:rPr>
        <w:t>Cluster 0 Profile (Acoustic Cluster)</w:t>
      </w:r>
      <w:r w:rsidRPr="00797159">
        <w:rPr>
          <w:rFonts w:ascii="Times New Roman" w:hAnsi="Times New Roman" w:cs="Times New Roman"/>
        </w:rPr>
        <w:t>:</w:t>
      </w:r>
    </w:p>
    <w:p w14:paraId="4BB1CEEB" w14:textId="77777777" w:rsidR="0057214F" w:rsidRPr="00797159" w:rsidRDefault="00000000" w:rsidP="00797159">
      <w:pPr>
        <w:numPr>
          <w:ilvl w:val="0"/>
          <w:numId w:val="3"/>
        </w:numPr>
        <w:jc w:val="both"/>
        <w:rPr>
          <w:rFonts w:ascii="Times New Roman" w:hAnsi="Times New Roman" w:cs="Times New Roman"/>
        </w:rPr>
      </w:pPr>
      <w:r w:rsidRPr="00797159">
        <w:rPr>
          <w:rFonts w:ascii="Times New Roman" w:hAnsi="Times New Roman" w:cs="Times New Roman"/>
        </w:rPr>
        <w:t xml:space="preserve">Significantly higher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(0.835 vs 0.585)</w:t>
      </w:r>
    </w:p>
    <w:p w14:paraId="7F5BDFB7" w14:textId="77777777" w:rsidR="0057214F" w:rsidRPr="00797159" w:rsidRDefault="00000000" w:rsidP="00797159">
      <w:pPr>
        <w:numPr>
          <w:ilvl w:val="0"/>
          <w:numId w:val="3"/>
        </w:numPr>
        <w:jc w:val="both"/>
        <w:rPr>
          <w:rFonts w:ascii="Times New Roman" w:hAnsi="Times New Roman" w:cs="Times New Roman"/>
        </w:rPr>
      </w:pPr>
      <w:r w:rsidRPr="00797159">
        <w:rPr>
          <w:rFonts w:ascii="Times New Roman" w:hAnsi="Times New Roman" w:cs="Times New Roman"/>
        </w:rPr>
        <w:t>Much lower energy (0.056 vs 0.358)</w:t>
      </w:r>
    </w:p>
    <w:p w14:paraId="02A2613A" w14:textId="77777777" w:rsidR="0057214F" w:rsidRPr="00797159" w:rsidRDefault="00000000" w:rsidP="00797159">
      <w:pPr>
        <w:numPr>
          <w:ilvl w:val="0"/>
          <w:numId w:val="3"/>
        </w:numPr>
        <w:jc w:val="both"/>
        <w:rPr>
          <w:rFonts w:ascii="Times New Roman" w:hAnsi="Times New Roman" w:cs="Times New Roman"/>
        </w:rPr>
      </w:pPr>
      <w:r w:rsidRPr="00797159">
        <w:rPr>
          <w:rFonts w:ascii="Times New Roman" w:hAnsi="Times New Roman" w:cs="Times New Roman"/>
        </w:rPr>
        <w:t>Higher acoustic-electronic ratio (3.446 vs 1.043)</w:t>
      </w:r>
    </w:p>
    <w:p w14:paraId="2A78975C" w14:textId="77777777" w:rsidR="0057214F" w:rsidRPr="00797159" w:rsidRDefault="00000000" w:rsidP="00797159">
      <w:pPr>
        <w:numPr>
          <w:ilvl w:val="0"/>
          <w:numId w:val="3"/>
        </w:numPr>
        <w:jc w:val="both"/>
        <w:rPr>
          <w:rFonts w:ascii="Times New Roman" w:hAnsi="Times New Roman" w:cs="Times New Roman"/>
        </w:rPr>
      </w:pPr>
      <w:r w:rsidRPr="00797159">
        <w:rPr>
          <w:rFonts w:ascii="Times New Roman" w:hAnsi="Times New Roman" w:cs="Times New Roman"/>
        </w:rPr>
        <w:t>Slightly quieter (-7.22 dB vs -7.04 dB)</w:t>
      </w:r>
    </w:p>
    <w:p w14:paraId="6F535B1F" w14:textId="77777777" w:rsidR="0057214F" w:rsidRPr="00797159" w:rsidRDefault="00000000" w:rsidP="00797159">
      <w:pPr>
        <w:numPr>
          <w:ilvl w:val="0"/>
          <w:numId w:val="3"/>
        </w:numPr>
        <w:jc w:val="both"/>
        <w:rPr>
          <w:rFonts w:ascii="Times New Roman" w:hAnsi="Times New Roman" w:cs="Times New Roman"/>
        </w:rPr>
      </w:pPr>
      <w:r w:rsidRPr="00797159">
        <w:rPr>
          <w:rFonts w:ascii="Times New Roman" w:hAnsi="Times New Roman" w:cs="Times New Roman"/>
        </w:rPr>
        <w:t>Similar tempo, valence, and danceability to Cluster 1</w:t>
      </w:r>
    </w:p>
    <w:p w14:paraId="6BDB95AB"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This cluster represents predominantly acoustic music characterized by gentler, more organic sounds with lower electronic production.</w:t>
      </w:r>
    </w:p>
    <w:p w14:paraId="6212FE3E" w14:textId="77777777" w:rsidR="00797159" w:rsidRDefault="00797159" w:rsidP="00797159">
      <w:pPr>
        <w:spacing w:after="210"/>
        <w:jc w:val="both"/>
        <w:rPr>
          <w:rFonts w:ascii="Times New Roman" w:hAnsi="Times New Roman" w:cs="Times New Roman"/>
          <w:b/>
        </w:rPr>
      </w:pPr>
    </w:p>
    <w:p w14:paraId="6209A00E" w14:textId="3932848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b/>
        </w:rPr>
        <w:lastRenderedPageBreak/>
        <w:t>Cluster 1 Profile (Electronic/Energetic Cluster)</w:t>
      </w:r>
      <w:r w:rsidRPr="00797159">
        <w:rPr>
          <w:rFonts w:ascii="Times New Roman" w:hAnsi="Times New Roman" w:cs="Times New Roman"/>
        </w:rPr>
        <w:t>:</w:t>
      </w:r>
    </w:p>
    <w:p w14:paraId="264E1852" w14:textId="77777777" w:rsidR="0057214F" w:rsidRPr="00797159" w:rsidRDefault="00000000" w:rsidP="00797159">
      <w:pPr>
        <w:numPr>
          <w:ilvl w:val="0"/>
          <w:numId w:val="4"/>
        </w:numPr>
        <w:jc w:val="both"/>
        <w:rPr>
          <w:rFonts w:ascii="Times New Roman" w:hAnsi="Times New Roman" w:cs="Times New Roman"/>
        </w:rPr>
      </w:pPr>
      <w:r w:rsidRPr="00797159">
        <w:rPr>
          <w:rFonts w:ascii="Times New Roman" w:hAnsi="Times New Roman" w:cs="Times New Roman"/>
        </w:rPr>
        <w:t xml:space="preserve">Lower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higher energy</w:t>
      </w:r>
    </w:p>
    <w:p w14:paraId="1D07D676" w14:textId="77777777" w:rsidR="0057214F" w:rsidRPr="00797159" w:rsidRDefault="00000000" w:rsidP="00797159">
      <w:pPr>
        <w:numPr>
          <w:ilvl w:val="0"/>
          <w:numId w:val="4"/>
        </w:numPr>
        <w:jc w:val="both"/>
        <w:rPr>
          <w:rFonts w:ascii="Times New Roman" w:hAnsi="Times New Roman" w:cs="Times New Roman"/>
        </w:rPr>
      </w:pPr>
      <w:r w:rsidRPr="00797159">
        <w:rPr>
          <w:rFonts w:ascii="Times New Roman" w:hAnsi="Times New Roman" w:cs="Times New Roman"/>
        </w:rPr>
        <w:t>More electronic production characteristics</w:t>
      </w:r>
    </w:p>
    <w:p w14:paraId="50BB2A15" w14:textId="77777777" w:rsidR="0057214F" w:rsidRPr="00797159" w:rsidRDefault="00000000" w:rsidP="00797159">
      <w:pPr>
        <w:numPr>
          <w:ilvl w:val="0"/>
          <w:numId w:val="4"/>
        </w:numPr>
        <w:jc w:val="both"/>
        <w:rPr>
          <w:rFonts w:ascii="Times New Roman" w:hAnsi="Times New Roman" w:cs="Times New Roman"/>
        </w:rPr>
      </w:pPr>
      <w:r w:rsidRPr="00797159">
        <w:rPr>
          <w:rFonts w:ascii="Times New Roman" w:hAnsi="Times New Roman" w:cs="Times New Roman"/>
        </w:rPr>
        <w:t>Slightly louder and more energetic overall</w:t>
      </w:r>
    </w:p>
    <w:p w14:paraId="374A50D4" w14:textId="77777777" w:rsidR="0057214F" w:rsidRPr="00797159" w:rsidRDefault="00000000" w:rsidP="00797159">
      <w:pPr>
        <w:numPr>
          <w:ilvl w:val="0"/>
          <w:numId w:val="4"/>
        </w:numPr>
        <w:jc w:val="both"/>
        <w:rPr>
          <w:rFonts w:ascii="Times New Roman" w:hAnsi="Times New Roman" w:cs="Times New Roman"/>
        </w:rPr>
      </w:pPr>
      <w:r w:rsidRPr="00797159">
        <w:rPr>
          <w:rFonts w:ascii="Times New Roman" w:hAnsi="Times New Roman" w:cs="Times New Roman"/>
        </w:rPr>
        <w:t>Represents the mainstream music profile in the dataset</w:t>
      </w:r>
    </w:p>
    <w:p w14:paraId="390BAFC1"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 xml:space="preserve">The most significant differentiating factors between clusters are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energy, and the derived acoustic-electronic ratio. Other features like tempo, valence, danceability, </w:t>
      </w:r>
      <w:proofErr w:type="spellStart"/>
      <w:r w:rsidRPr="00797159">
        <w:rPr>
          <w:rFonts w:ascii="Times New Roman" w:hAnsi="Times New Roman" w:cs="Times New Roman"/>
        </w:rPr>
        <w:t>speechiness</w:t>
      </w:r>
      <w:proofErr w:type="spellEnd"/>
      <w:r w:rsidRPr="00797159">
        <w:rPr>
          <w:rFonts w:ascii="Times New Roman" w:hAnsi="Times New Roman" w:cs="Times New Roman"/>
        </w:rPr>
        <w:t>, and liveness show minimal variation between clusters.</w:t>
      </w:r>
    </w:p>
    <w:p w14:paraId="106257AF" w14:textId="77777777" w:rsidR="0057214F" w:rsidRPr="00797159" w:rsidRDefault="00000000" w:rsidP="00797159">
      <w:pPr>
        <w:spacing w:before="240" w:line="271" w:lineRule="auto"/>
        <w:jc w:val="both"/>
        <w:rPr>
          <w:rFonts w:ascii="Times New Roman" w:hAnsi="Times New Roman" w:cs="Times New Roman"/>
        </w:rPr>
      </w:pPr>
      <w:bookmarkStart w:id="12" w:name="visualization"/>
      <w:r w:rsidRPr="00797159">
        <w:rPr>
          <w:rFonts w:ascii="Times New Roman" w:hAnsi="Times New Roman" w:cs="Times New Roman"/>
          <w:b/>
          <w:sz w:val="33"/>
        </w:rPr>
        <w:t>Visualization</w:t>
      </w:r>
      <w:bookmarkEnd w:id="12"/>
    </w:p>
    <w:p w14:paraId="27CA7C8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PCA visualization revealed clear separation between the two clusters along the first principal component, which primarily captures the acoustic versus electronic dimension. The scatter plot shows Cluster 0 concentrated in one region while Cluster 1 spreads across a broader area, reflecting its larger size and greater internal diversity.</w:t>
      </w:r>
    </w:p>
    <w:p w14:paraId="1E178050" w14:textId="77777777" w:rsidR="0057214F" w:rsidRDefault="0057214F" w:rsidP="00797159">
      <w:pPr>
        <w:jc w:val="both"/>
        <w:rPr>
          <w:rFonts w:ascii="Times New Roman" w:hAnsi="Times New Roman" w:cs="Times New Roman"/>
        </w:rPr>
      </w:pPr>
    </w:p>
    <w:p w14:paraId="2C036190" w14:textId="73CCDD51" w:rsidR="00797159" w:rsidRDefault="00797159" w:rsidP="00797159">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155363A4" wp14:editId="4BED4CC1">
            <wp:simplePos x="0" y="0"/>
            <wp:positionH relativeFrom="margin">
              <wp:align>left</wp:align>
            </wp:positionH>
            <wp:positionV relativeFrom="paragraph">
              <wp:posOffset>7620</wp:posOffset>
            </wp:positionV>
            <wp:extent cx="5518150" cy="4138930"/>
            <wp:effectExtent l="0" t="0" r="6350" b="0"/>
            <wp:wrapNone/>
            <wp:docPr id="1503504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4819" name="Picture 1503504819"/>
                    <pic:cNvPicPr/>
                  </pic:nvPicPr>
                  <pic:blipFill>
                    <a:blip r:embed="rId8">
                      <a:extLst>
                        <a:ext uri="{28A0092B-C50C-407E-A947-70E740481C1C}">
                          <a14:useLocalDpi xmlns:a14="http://schemas.microsoft.com/office/drawing/2010/main" val="0"/>
                        </a:ext>
                      </a:extLst>
                    </a:blip>
                    <a:stretch>
                      <a:fillRect/>
                    </a:stretch>
                  </pic:blipFill>
                  <pic:spPr>
                    <a:xfrm>
                      <a:off x="0" y="0"/>
                      <a:ext cx="5518150" cy="4138930"/>
                    </a:xfrm>
                    <a:prstGeom prst="rect">
                      <a:avLst/>
                    </a:prstGeom>
                  </pic:spPr>
                </pic:pic>
              </a:graphicData>
            </a:graphic>
          </wp:anchor>
        </w:drawing>
      </w:r>
    </w:p>
    <w:p w14:paraId="7D8BFB97" w14:textId="77777777" w:rsidR="00797159" w:rsidRDefault="00797159" w:rsidP="00797159">
      <w:pPr>
        <w:jc w:val="both"/>
        <w:rPr>
          <w:rFonts w:ascii="Times New Roman" w:hAnsi="Times New Roman" w:cs="Times New Roman"/>
        </w:rPr>
      </w:pPr>
    </w:p>
    <w:p w14:paraId="6E9C9DF5" w14:textId="77777777" w:rsidR="00797159" w:rsidRDefault="00797159" w:rsidP="00797159">
      <w:pPr>
        <w:jc w:val="both"/>
        <w:rPr>
          <w:rFonts w:ascii="Times New Roman" w:hAnsi="Times New Roman" w:cs="Times New Roman"/>
        </w:rPr>
      </w:pPr>
    </w:p>
    <w:p w14:paraId="78DE069E" w14:textId="77777777" w:rsidR="00797159" w:rsidRDefault="00797159" w:rsidP="00797159">
      <w:pPr>
        <w:jc w:val="both"/>
        <w:rPr>
          <w:rFonts w:ascii="Times New Roman" w:hAnsi="Times New Roman" w:cs="Times New Roman"/>
        </w:rPr>
      </w:pPr>
    </w:p>
    <w:p w14:paraId="34EB0900" w14:textId="77777777" w:rsidR="00797159" w:rsidRDefault="00797159" w:rsidP="00797159">
      <w:pPr>
        <w:jc w:val="both"/>
        <w:rPr>
          <w:rFonts w:ascii="Times New Roman" w:hAnsi="Times New Roman" w:cs="Times New Roman"/>
        </w:rPr>
      </w:pPr>
    </w:p>
    <w:p w14:paraId="1DD00BB7" w14:textId="77777777" w:rsidR="00797159" w:rsidRDefault="00797159" w:rsidP="00797159">
      <w:pPr>
        <w:jc w:val="both"/>
        <w:rPr>
          <w:rFonts w:ascii="Times New Roman" w:hAnsi="Times New Roman" w:cs="Times New Roman"/>
        </w:rPr>
      </w:pPr>
    </w:p>
    <w:p w14:paraId="23F02201" w14:textId="77777777" w:rsidR="00797159" w:rsidRDefault="00797159" w:rsidP="00797159">
      <w:pPr>
        <w:jc w:val="both"/>
        <w:rPr>
          <w:rFonts w:ascii="Times New Roman" w:hAnsi="Times New Roman" w:cs="Times New Roman"/>
        </w:rPr>
      </w:pPr>
    </w:p>
    <w:p w14:paraId="3858F242" w14:textId="77777777" w:rsidR="00797159" w:rsidRDefault="00797159" w:rsidP="00797159">
      <w:pPr>
        <w:jc w:val="both"/>
        <w:rPr>
          <w:rFonts w:ascii="Times New Roman" w:hAnsi="Times New Roman" w:cs="Times New Roman"/>
        </w:rPr>
      </w:pPr>
    </w:p>
    <w:p w14:paraId="46E626A7" w14:textId="77777777" w:rsidR="00797159" w:rsidRDefault="00797159" w:rsidP="00797159">
      <w:pPr>
        <w:jc w:val="both"/>
        <w:rPr>
          <w:rFonts w:ascii="Times New Roman" w:hAnsi="Times New Roman" w:cs="Times New Roman"/>
        </w:rPr>
      </w:pPr>
    </w:p>
    <w:p w14:paraId="05B684F9" w14:textId="77777777" w:rsidR="00797159" w:rsidRDefault="00797159" w:rsidP="00797159">
      <w:pPr>
        <w:jc w:val="both"/>
        <w:rPr>
          <w:rFonts w:ascii="Times New Roman" w:hAnsi="Times New Roman" w:cs="Times New Roman"/>
        </w:rPr>
      </w:pPr>
    </w:p>
    <w:p w14:paraId="1EE030E6" w14:textId="77777777" w:rsidR="00797159" w:rsidRDefault="00797159" w:rsidP="00797159">
      <w:pPr>
        <w:jc w:val="both"/>
        <w:rPr>
          <w:rFonts w:ascii="Times New Roman" w:hAnsi="Times New Roman" w:cs="Times New Roman"/>
        </w:rPr>
      </w:pPr>
    </w:p>
    <w:p w14:paraId="0D9DCCDB" w14:textId="77777777" w:rsidR="00797159" w:rsidRDefault="00797159" w:rsidP="00797159">
      <w:pPr>
        <w:jc w:val="both"/>
        <w:rPr>
          <w:rFonts w:ascii="Times New Roman" w:hAnsi="Times New Roman" w:cs="Times New Roman"/>
        </w:rPr>
      </w:pPr>
    </w:p>
    <w:p w14:paraId="2326CD4D" w14:textId="77777777" w:rsidR="00797159" w:rsidRDefault="00797159" w:rsidP="00797159">
      <w:pPr>
        <w:jc w:val="both"/>
        <w:rPr>
          <w:rFonts w:ascii="Times New Roman" w:hAnsi="Times New Roman" w:cs="Times New Roman"/>
        </w:rPr>
      </w:pPr>
    </w:p>
    <w:p w14:paraId="42BAF28C" w14:textId="77777777" w:rsidR="00797159" w:rsidRDefault="00797159" w:rsidP="00797159">
      <w:pPr>
        <w:jc w:val="both"/>
        <w:rPr>
          <w:rFonts w:ascii="Times New Roman" w:hAnsi="Times New Roman" w:cs="Times New Roman"/>
        </w:rPr>
      </w:pPr>
    </w:p>
    <w:p w14:paraId="71C37D10" w14:textId="77777777" w:rsidR="00797159" w:rsidRDefault="00797159" w:rsidP="00797159">
      <w:pPr>
        <w:jc w:val="both"/>
        <w:rPr>
          <w:rFonts w:ascii="Times New Roman" w:hAnsi="Times New Roman" w:cs="Times New Roman"/>
        </w:rPr>
      </w:pPr>
    </w:p>
    <w:p w14:paraId="1D345061" w14:textId="77777777" w:rsidR="00797159" w:rsidRDefault="00797159" w:rsidP="00797159">
      <w:pPr>
        <w:jc w:val="both"/>
        <w:rPr>
          <w:rFonts w:ascii="Times New Roman" w:hAnsi="Times New Roman" w:cs="Times New Roman"/>
        </w:rPr>
      </w:pPr>
    </w:p>
    <w:p w14:paraId="40FD21C4" w14:textId="77777777" w:rsidR="00797159" w:rsidRDefault="00797159" w:rsidP="00797159">
      <w:pPr>
        <w:jc w:val="both"/>
        <w:rPr>
          <w:rFonts w:ascii="Times New Roman" w:hAnsi="Times New Roman" w:cs="Times New Roman"/>
        </w:rPr>
      </w:pPr>
    </w:p>
    <w:p w14:paraId="45DD0B52" w14:textId="77777777" w:rsidR="00797159" w:rsidRDefault="00797159" w:rsidP="00797159">
      <w:pPr>
        <w:jc w:val="both"/>
        <w:rPr>
          <w:rFonts w:ascii="Times New Roman" w:hAnsi="Times New Roman" w:cs="Times New Roman"/>
        </w:rPr>
      </w:pPr>
    </w:p>
    <w:p w14:paraId="7169F209" w14:textId="77777777" w:rsidR="00797159" w:rsidRDefault="00797159" w:rsidP="00797159">
      <w:pPr>
        <w:jc w:val="both"/>
        <w:rPr>
          <w:rFonts w:ascii="Times New Roman" w:hAnsi="Times New Roman" w:cs="Times New Roman"/>
        </w:rPr>
      </w:pPr>
    </w:p>
    <w:p w14:paraId="06A244EC" w14:textId="69A6543D" w:rsidR="0057214F" w:rsidRPr="00797159" w:rsidRDefault="00000000" w:rsidP="00797159">
      <w:pPr>
        <w:jc w:val="both"/>
        <w:rPr>
          <w:rFonts w:ascii="Times New Roman" w:hAnsi="Times New Roman" w:cs="Times New Roman"/>
        </w:rPr>
      </w:pPr>
      <w:r w:rsidRPr="00797159">
        <w:rPr>
          <w:rFonts w:ascii="Times New Roman" w:hAnsi="Times New Roman" w:cs="Times New Roman"/>
        </w:rPr>
        <w:t>Figure 3: PCA visualization of two clusters showing clear separation between Cluster 0 (acoustic) and Cluster 1 (electronic/energetic)</w:t>
      </w:r>
    </w:p>
    <w:p w14:paraId="43E4A3D8" w14:textId="77777777" w:rsidR="00797159" w:rsidRDefault="00797159" w:rsidP="00797159">
      <w:pPr>
        <w:spacing w:before="240" w:line="271" w:lineRule="auto"/>
        <w:jc w:val="both"/>
        <w:rPr>
          <w:rFonts w:ascii="Times New Roman" w:hAnsi="Times New Roman" w:cs="Times New Roman"/>
          <w:b/>
          <w:sz w:val="33"/>
        </w:rPr>
      </w:pPr>
      <w:bookmarkStart w:id="13" w:name="deduplication_experiment"/>
    </w:p>
    <w:p w14:paraId="1A3ACCA1" w14:textId="333B2919" w:rsidR="0057214F" w:rsidRPr="00797159" w:rsidRDefault="00000000" w:rsidP="00797159">
      <w:pPr>
        <w:spacing w:before="240" w:line="271" w:lineRule="auto"/>
        <w:jc w:val="both"/>
        <w:rPr>
          <w:rFonts w:ascii="Times New Roman" w:hAnsi="Times New Roman" w:cs="Times New Roman"/>
        </w:rPr>
      </w:pPr>
      <w:r w:rsidRPr="00797159">
        <w:rPr>
          <w:rFonts w:ascii="Times New Roman" w:hAnsi="Times New Roman" w:cs="Times New Roman"/>
          <w:b/>
          <w:sz w:val="33"/>
        </w:rPr>
        <w:lastRenderedPageBreak/>
        <w:t>Deduplication Experiment</w:t>
      </w:r>
      <w:bookmarkEnd w:id="13"/>
    </w:p>
    <w:p w14:paraId="5CC90D7C"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To assess whether duplicate tracks affected clustering quality, a deduplication experiment was performed. Tracks with identical track IDs were removed, creating a deduplicated dataset.</w:t>
      </w:r>
    </w:p>
    <w:p w14:paraId="2817357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clustering metrics remained identical after deduplication:</w:t>
      </w:r>
    </w:p>
    <w:p w14:paraId="1D6A49BB" w14:textId="77777777" w:rsidR="0057214F" w:rsidRPr="00797159" w:rsidRDefault="00000000" w:rsidP="00797159">
      <w:pPr>
        <w:numPr>
          <w:ilvl w:val="0"/>
          <w:numId w:val="5"/>
        </w:numPr>
        <w:jc w:val="both"/>
        <w:rPr>
          <w:rFonts w:ascii="Times New Roman" w:hAnsi="Times New Roman" w:cs="Times New Roman"/>
        </w:rPr>
      </w:pPr>
      <w:r w:rsidRPr="00797159">
        <w:rPr>
          <w:rFonts w:ascii="Times New Roman" w:hAnsi="Times New Roman" w:cs="Times New Roman"/>
        </w:rPr>
        <w:t>Original Dataset - Silhouette: 0.175, Davies-Bouldin: 1.995</w:t>
      </w:r>
    </w:p>
    <w:p w14:paraId="119B5351" w14:textId="77777777" w:rsidR="0057214F" w:rsidRPr="00797159" w:rsidRDefault="00000000" w:rsidP="00797159">
      <w:pPr>
        <w:numPr>
          <w:ilvl w:val="0"/>
          <w:numId w:val="5"/>
        </w:numPr>
        <w:jc w:val="both"/>
        <w:rPr>
          <w:rFonts w:ascii="Times New Roman" w:hAnsi="Times New Roman" w:cs="Times New Roman"/>
        </w:rPr>
      </w:pPr>
      <w:r w:rsidRPr="00797159">
        <w:rPr>
          <w:rFonts w:ascii="Times New Roman" w:hAnsi="Times New Roman" w:cs="Times New Roman"/>
        </w:rPr>
        <w:t>Deduplicated Dataset - Silhouette: 0.175, Davies-Bouldin: 1.995</w:t>
      </w:r>
    </w:p>
    <w:p w14:paraId="0ED80FBD"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This result indicates that duplicates had negligible impact on the clustering outcome, and the original dataset was already relatively clean with minimal redundancy affecting the analysis.</w:t>
      </w:r>
    </w:p>
    <w:p w14:paraId="11E079D0" w14:textId="77777777" w:rsidR="0057214F" w:rsidRPr="00797159" w:rsidRDefault="00000000" w:rsidP="00797159">
      <w:pPr>
        <w:spacing w:before="240" w:line="271" w:lineRule="auto"/>
        <w:jc w:val="both"/>
        <w:rPr>
          <w:rFonts w:ascii="Times New Roman" w:hAnsi="Times New Roman" w:cs="Times New Roman"/>
        </w:rPr>
      </w:pPr>
      <w:bookmarkStart w:id="14" w:name="discussion"/>
      <w:r w:rsidRPr="00797159">
        <w:rPr>
          <w:rFonts w:ascii="Times New Roman" w:hAnsi="Times New Roman" w:cs="Times New Roman"/>
          <w:b/>
          <w:sz w:val="42"/>
        </w:rPr>
        <w:t>Discussion</w:t>
      </w:r>
      <w:bookmarkEnd w:id="14"/>
    </w:p>
    <w:p w14:paraId="6BADE438" w14:textId="77777777" w:rsidR="0057214F" w:rsidRPr="00797159" w:rsidRDefault="00000000" w:rsidP="00797159">
      <w:pPr>
        <w:spacing w:before="240" w:line="271" w:lineRule="auto"/>
        <w:jc w:val="both"/>
        <w:rPr>
          <w:rFonts w:ascii="Times New Roman" w:hAnsi="Times New Roman" w:cs="Times New Roman"/>
        </w:rPr>
      </w:pPr>
      <w:bookmarkStart w:id="15" w:name="interpretation_of_findings"/>
      <w:r w:rsidRPr="00797159">
        <w:rPr>
          <w:rFonts w:ascii="Times New Roman" w:hAnsi="Times New Roman" w:cs="Times New Roman"/>
          <w:b/>
          <w:sz w:val="33"/>
        </w:rPr>
        <w:t>Interpretation of Findings</w:t>
      </w:r>
      <w:bookmarkEnd w:id="15"/>
    </w:p>
    <w:p w14:paraId="09193960"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analysis successfully identified two meaningful clusters in the Spotify music dataset. The primary division occurs along the acoustic-electronic spectrum, which makes intuitive sense from a musical perspective. Acoustic music and electronic music represent fundamentally different production approaches and listening experiences.</w:t>
      </w:r>
    </w:p>
    <w:p w14:paraId="27BAC343"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overwhelming majority of tracks (83%) fall into Cluster 1, the electronic/energetic cluster. This reflects the prevalence of electronically produced or enhanced music in the modern Spotify catalog. Pop, R&amp;B, hip-hop, and other mainstream genres typically involve significant electronic production, placing them in this larger cluster.</w:t>
      </w:r>
    </w:p>
    <w:p w14:paraId="42E19B56"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Cluster 0, though smaller, represents a distinct musical niche focused on acoustic instrumentation and natural sound. This cluster likely includes folk, classical, acoustic singer-songwriter material, and unplugged versions of songs.</w:t>
      </w:r>
    </w:p>
    <w:p w14:paraId="6410FC58"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similarity in danceability, valence, and tempo across clusters suggests these features are independent of the acoustic-electronic dimension. Songs can be danceable, positive, and have various tempos regardless of whether they're acoustically or electronically produced.</w:t>
      </w:r>
    </w:p>
    <w:p w14:paraId="7AADAE75" w14:textId="77777777" w:rsidR="0057214F" w:rsidRPr="00797159" w:rsidRDefault="00000000" w:rsidP="00797159">
      <w:pPr>
        <w:spacing w:before="240" w:line="271" w:lineRule="auto"/>
        <w:jc w:val="both"/>
        <w:rPr>
          <w:rFonts w:ascii="Times New Roman" w:hAnsi="Times New Roman" w:cs="Times New Roman"/>
        </w:rPr>
      </w:pPr>
      <w:bookmarkStart w:id="16" w:name="limitations"/>
      <w:r w:rsidRPr="00797159">
        <w:rPr>
          <w:rFonts w:ascii="Times New Roman" w:hAnsi="Times New Roman" w:cs="Times New Roman"/>
          <w:b/>
          <w:sz w:val="33"/>
        </w:rPr>
        <w:t>Limitations</w:t>
      </w:r>
      <w:bookmarkEnd w:id="16"/>
    </w:p>
    <w:p w14:paraId="740AAD52"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Several limitations should be acknowledged:</w:t>
      </w:r>
    </w:p>
    <w:p w14:paraId="58A81581" w14:textId="77777777" w:rsidR="0057214F" w:rsidRPr="00797159" w:rsidRDefault="00000000" w:rsidP="00797159">
      <w:pPr>
        <w:numPr>
          <w:ilvl w:val="0"/>
          <w:numId w:val="6"/>
        </w:numPr>
        <w:jc w:val="both"/>
        <w:rPr>
          <w:rFonts w:ascii="Times New Roman" w:hAnsi="Times New Roman" w:cs="Times New Roman"/>
        </w:rPr>
      </w:pPr>
      <w:r w:rsidRPr="00797159">
        <w:rPr>
          <w:rFonts w:ascii="Times New Roman" w:hAnsi="Times New Roman" w:cs="Times New Roman"/>
        </w:rPr>
        <w:t>The analysis only tested up to K=6 clusters. More granular clustering might reveal additional subgroups.</w:t>
      </w:r>
    </w:p>
    <w:p w14:paraId="434DD34D" w14:textId="77777777" w:rsidR="0057214F" w:rsidRPr="00797159" w:rsidRDefault="00000000" w:rsidP="00797159">
      <w:pPr>
        <w:numPr>
          <w:ilvl w:val="0"/>
          <w:numId w:val="6"/>
        </w:numPr>
        <w:jc w:val="both"/>
        <w:rPr>
          <w:rFonts w:ascii="Times New Roman" w:hAnsi="Times New Roman" w:cs="Times New Roman"/>
        </w:rPr>
      </w:pPr>
      <w:r w:rsidRPr="00797159">
        <w:rPr>
          <w:rFonts w:ascii="Times New Roman" w:hAnsi="Times New Roman" w:cs="Times New Roman"/>
        </w:rPr>
        <w:t>Genre information was not used as a clustering feature, though it could provide additional insights.</w:t>
      </w:r>
    </w:p>
    <w:p w14:paraId="1BAFF7DB" w14:textId="77777777" w:rsidR="0057214F" w:rsidRPr="00797159" w:rsidRDefault="00000000" w:rsidP="00797159">
      <w:pPr>
        <w:numPr>
          <w:ilvl w:val="0"/>
          <w:numId w:val="6"/>
        </w:numPr>
        <w:jc w:val="both"/>
        <w:rPr>
          <w:rFonts w:ascii="Times New Roman" w:hAnsi="Times New Roman" w:cs="Times New Roman"/>
        </w:rPr>
      </w:pPr>
      <w:r w:rsidRPr="00797159">
        <w:rPr>
          <w:rFonts w:ascii="Times New Roman" w:hAnsi="Times New Roman" w:cs="Times New Roman"/>
        </w:rPr>
        <w:t>The acoustic-electronic ratio, while effective, is a simplified representation of production complexity.</w:t>
      </w:r>
    </w:p>
    <w:p w14:paraId="48C45FF4" w14:textId="77777777" w:rsidR="0057214F" w:rsidRPr="00797159" w:rsidRDefault="00000000" w:rsidP="00797159">
      <w:pPr>
        <w:numPr>
          <w:ilvl w:val="0"/>
          <w:numId w:val="6"/>
        </w:numPr>
        <w:jc w:val="both"/>
        <w:rPr>
          <w:rFonts w:ascii="Times New Roman" w:hAnsi="Times New Roman" w:cs="Times New Roman"/>
        </w:rPr>
      </w:pPr>
      <w:r w:rsidRPr="00797159">
        <w:rPr>
          <w:rFonts w:ascii="Times New Roman" w:hAnsi="Times New Roman" w:cs="Times New Roman"/>
        </w:rPr>
        <w:t>Duration and loudness showed minimal variation across clusters, suggesting they may not be strong differentiators for this dataset.</w:t>
      </w:r>
    </w:p>
    <w:p w14:paraId="247EE776" w14:textId="77777777" w:rsidR="00797159" w:rsidRDefault="00797159" w:rsidP="00797159">
      <w:pPr>
        <w:spacing w:before="240" w:line="271" w:lineRule="auto"/>
        <w:jc w:val="both"/>
        <w:rPr>
          <w:rFonts w:ascii="Times New Roman" w:hAnsi="Times New Roman" w:cs="Times New Roman"/>
          <w:b/>
          <w:sz w:val="42"/>
        </w:rPr>
      </w:pPr>
      <w:bookmarkStart w:id="17" w:name="conclusions"/>
    </w:p>
    <w:p w14:paraId="30A1F3DA" w14:textId="2CFA96FB" w:rsidR="0057214F" w:rsidRPr="00797159" w:rsidRDefault="00000000" w:rsidP="00797159">
      <w:pPr>
        <w:spacing w:before="240" w:line="271" w:lineRule="auto"/>
        <w:jc w:val="both"/>
        <w:rPr>
          <w:rFonts w:ascii="Times New Roman" w:hAnsi="Times New Roman" w:cs="Times New Roman"/>
        </w:rPr>
      </w:pPr>
      <w:r w:rsidRPr="00797159">
        <w:rPr>
          <w:rFonts w:ascii="Times New Roman" w:hAnsi="Times New Roman" w:cs="Times New Roman"/>
          <w:b/>
          <w:sz w:val="42"/>
        </w:rPr>
        <w:lastRenderedPageBreak/>
        <w:t>Conclusions</w:t>
      </w:r>
      <w:bookmarkEnd w:id="17"/>
    </w:p>
    <w:p w14:paraId="5014AE5D"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 xml:space="preserve">This clustering analysis of 8,947 Spotify tracks identified two primary music clusters based on K-Means algorithm with K=2 as the optimal solution. The clusters separate predominantly along the acoustic-electronic spectrum, with energy and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serving as the strongest differentiating features.</w:t>
      </w:r>
    </w:p>
    <w:p w14:paraId="4471FA28"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Key findings include:</w:t>
      </w:r>
    </w:p>
    <w:p w14:paraId="6396983C" w14:textId="77777777" w:rsidR="0057214F" w:rsidRPr="00797159" w:rsidRDefault="00000000" w:rsidP="00797159">
      <w:pPr>
        <w:numPr>
          <w:ilvl w:val="0"/>
          <w:numId w:val="7"/>
        </w:numPr>
        <w:jc w:val="both"/>
        <w:rPr>
          <w:rFonts w:ascii="Times New Roman" w:hAnsi="Times New Roman" w:cs="Times New Roman"/>
        </w:rPr>
      </w:pPr>
      <w:r w:rsidRPr="00797159">
        <w:rPr>
          <w:rFonts w:ascii="Times New Roman" w:hAnsi="Times New Roman" w:cs="Times New Roman"/>
        </w:rPr>
        <w:t>K=2 provides the best clustering solution based on Silhouette Score (0.175) and Davies-Bouldin Index (1.995).</w:t>
      </w:r>
    </w:p>
    <w:p w14:paraId="235B2F7C" w14:textId="77777777" w:rsidR="0057214F" w:rsidRPr="00797159" w:rsidRDefault="00000000" w:rsidP="00797159">
      <w:pPr>
        <w:numPr>
          <w:ilvl w:val="0"/>
          <w:numId w:val="7"/>
        </w:numPr>
        <w:jc w:val="both"/>
        <w:rPr>
          <w:rFonts w:ascii="Times New Roman" w:hAnsi="Times New Roman" w:cs="Times New Roman"/>
        </w:rPr>
      </w:pPr>
      <w:r w:rsidRPr="00797159">
        <w:rPr>
          <w:rFonts w:ascii="Times New Roman" w:hAnsi="Times New Roman" w:cs="Times New Roman"/>
        </w:rPr>
        <w:t xml:space="preserve">Cluster 0 represents acoustic music (17.1% of tracks) with high </w:t>
      </w:r>
      <w:proofErr w:type="spellStart"/>
      <w:r w:rsidRPr="00797159">
        <w:rPr>
          <w:rFonts w:ascii="Times New Roman" w:hAnsi="Times New Roman" w:cs="Times New Roman"/>
        </w:rPr>
        <w:t>acousticness</w:t>
      </w:r>
      <w:proofErr w:type="spellEnd"/>
      <w:r w:rsidRPr="00797159">
        <w:rPr>
          <w:rFonts w:ascii="Times New Roman" w:hAnsi="Times New Roman" w:cs="Times New Roman"/>
        </w:rPr>
        <w:t xml:space="preserve"> and low energy.</w:t>
      </w:r>
    </w:p>
    <w:p w14:paraId="7C395AEB" w14:textId="77777777" w:rsidR="0057214F" w:rsidRPr="00797159" w:rsidRDefault="00000000" w:rsidP="00797159">
      <w:pPr>
        <w:numPr>
          <w:ilvl w:val="0"/>
          <w:numId w:val="7"/>
        </w:numPr>
        <w:jc w:val="both"/>
        <w:rPr>
          <w:rFonts w:ascii="Times New Roman" w:hAnsi="Times New Roman" w:cs="Times New Roman"/>
        </w:rPr>
      </w:pPr>
      <w:r w:rsidRPr="00797159">
        <w:rPr>
          <w:rFonts w:ascii="Times New Roman" w:hAnsi="Times New Roman" w:cs="Times New Roman"/>
        </w:rPr>
        <w:t>Cluster 1 represents electronic/energetic music (82.9% of tracks) with balanced acoustic-electronic characteristics.</w:t>
      </w:r>
    </w:p>
    <w:p w14:paraId="3F61F663" w14:textId="77777777" w:rsidR="0057214F" w:rsidRPr="00797159" w:rsidRDefault="00000000" w:rsidP="00797159">
      <w:pPr>
        <w:numPr>
          <w:ilvl w:val="0"/>
          <w:numId w:val="7"/>
        </w:numPr>
        <w:jc w:val="both"/>
        <w:rPr>
          <w:rFonts w:ascii="Times New Roman" w:hAnsi="Times New Roman" w:cs="Times New Roman"/>
        </w:rPr>
      </w:pPr>
      <w:r w:rsidRPr="00797159">
        <w:rPr>
          <w:rFonts w:ascii="Times New Roman" w:hAnsi="Times New Roman" w:cs="Times New Roman"/>
        </w:rPr>
        <w:t>The acoustic-electronic ratio proved to be a valuable engineered feature for distinguishing music types.</w:t>
      </w:r>
    </w:p>
    <w:p w14:paraId="2C36081C" w14:textId="77777777" w:rsidR="0057214F" w:rsidRPr="00797159" w:rsidRDefault="00000000" w:rsidP="00797159">
      <w:pPr>
        <w:numPr>
          <w:ilvl w:val="0"/>
          <w:numId w:val="7"/>
        </w:numPr>
        <w:jc w:val="both"/>
        <w:rPr>
          <w:rFonts w:ascii="Times New Roman" w:hAnsi="Times New Roman" w:cs="Times New Roman"/>
        </w:rPr>
      </w:pPr>
      <w:r w:rsidRPr="00797159">
        <w:rPr>
          <w:rFonts w:ascii="Times New Roman" w:hAnsi="Times New Roman" w:cs="Times New Roman"/>
        </w:rPr>
        <w:t>Deduplication had no impact on clustering quality, confirming dataset integrity.</w:t>
      </w:r>
    </w:p>
    <w:p w14:paraId="2FE1F356" w14:textId="77777777" w:rsidR="0057214F" w:rsidRPr="00797159" w:rsidRDefault="00000000" w:rsidP="00797159">
      <w:pPr>
        <w:spacing w:before="240" w:line="271" w:lineRule="auto"/>
        <w:jc w:val="both"/>
        <w:rPr>
          <w:rFonts w:ascii="Times New Roman" w:hAnsi="Times New Roman" w:cs="Times New Roman"/>
        </w:rPr>
      </w:pPr>
      <w:bookmarkStart w:id="18" w:name="recommendations"/>
      <w:r w:rsidRPr="00797159">
        <w:rPr>
          <w:rFonts w:ascii="Times New Roman" w:hAnsi="Times New Roman" w:cs="Times New Roman"/>
          <w:b/>
          <w:sz w:val="33"/>
        </w:rPr>
        <w:t>Recommendations</w:t>
      </w:r>
      <w:bookmarkEnd w:id="18"/>
    </w:p>
    <w:p w14:paraId="0A4109EE"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Based on these findings, several recommendations emerge:</w:t>
      </w:r>
    </w:p>
    <w:p w14:paraId="7C26A136" w14:textId="77777777" w:rsidR="0057214F" w:rsidRPr="00797159" w:rsidRDefault="00000000" w:rsidP="00797159">
      <w:pPr>
        <w:numPr>
          <w:ilvl w:val="0"/>
          <w:numId w:val="8"/>
        </w:numPr>
        <w:jc w:val="both"/>
        <w:rPr>
          <w:rFonts w:ascii="Times New Roman" w:hAnsi="Times New Roman" w:cs="Times New Roman"/>
        </w:rPr>
      </w:pPr>
      <w:r w:rsidRPr="00797159">
        <w:rPr>
          <w:rFonts w:ascii="Times New Roman" w:hAnsi="Times New Roman" w:cs="Times New Roman"/>
          <w:b/>
        </w:rPr>
        <w:t>Music Recommendation Systems</w:t>
      </w:r>
      <w:r w:rsidRPr="00797159">
        <w:rPr>
          <w:rFonts w:ascii="Times New Roman" w:hAnsi="Times New Roman" w:cs="Times New Roman"/>
        </w:rPr>
        <w:t>: Use these clusters to improve recommendation algorithms by ensuring diversity between acoustic and electronic music recommendations.</w:t>
      </w:r>
    </w:p>
    <w:p w14:paraId="710385D5" w14:textId="77777777" w:rsidR="0057214F" w:rsidRPr="00797159" w:rsidRDefault="00000000" w:rsidP="00797159">
      <w:pPr>
        <w:numPr>
          <w:ilvl w:val="0"/>
          <w:numId w:val="8"/>
        </w:numPr>
        <w:jc w:val="both"/>
        <w:rPr>
          <w:rFonts w:ascii="Times New Roman" w:hAnsi="Times New Roman" w:cs="Times New Roman"/>
        </w:rPr>
      </w:pPr>
      <w:r w:rsidRPr="00797159">
        <w:rPr>
          <w:rFonts w:ascii="Times New Roman" w:hAnsi="Times New Roman" w:cs="Times New Roman"/>
          <w:b/>
        </w:rPr>
        <w:t>Playlist Curation</w:t>
      </w:r>
      <w:r w:rsidRPr="00797159">
        <w:rPr>
          <w:rFonts w:ascii="Times New Roman" w:hAnsi="Times New Roman" w:cs="Times New Roman"/>
        </w:rPr>
        <w:t>: Create playlists that respect cluster boundaries to maintain consistent musical atmosphere.</w:t>
      </w:r>
    </w:p>
    <w:p w14:paraId="2F3227E7" w14:textId="77777777" w:rsidR="0057214F" w:rsidRPr="00797159" w:rsidRDefault="00000000" w:rsidP="00797159">
      <w:pPr>
        <w:numPr>
          <w:ilvl w:val="0"/>
          <w:numId w:val="8"/>
        </w:numPr>
        <w:jc w:val="both"/>
        <w:rPr>
          <w:rFonts w:ascii="Times New Roman" w:hAnsi="Times New Roman" w:cs="Times New Roman"/>
        </w:rPr>
      </w:pPr>
      <w:r w:rsidRPr="00797159">
        <w:rPr>
          <w:rFonts w:ascii="Times New Roman" w:hAnsi="Times New Roman" w:cs="Times New Roman"/>
          <w:b/>
        </w:rPr>
        <w:t>Further Analysis</w:t>
      </w:r>
      <w:r w:rsidRPr="00797159">
        <w:rPr>
          <w:rFonts w:ascii="Times New Roman" w:hAnsi="Times New Roman" w:cs="Times New Roman"/>
        </w:rPr>
        <w:t>: Explore subclusters within Cluster 1 to identify more granular groupings in the electronic/energetic music category.</w:t>
      </w:r>
    </w:p>
    <w:p w14:paraId="32319592" w14:textId="77777777" w:rsidR="0057214F" w:rsidRPr="00797159" w:rsidRDefault="00000000" w:rsidP="00797159">
      <w:pPr>
        <w:numPr>
          <w:ilvl w:val="0"/>
          <w:numId w:val="8"/>
        </w:numPr>
        <w:jc w:val="both"/>
        <w:rPr>
          <w:rFonts w:ascii="Times New Roman" w:hAnsi="Times New Roman" w:cs="Times New Roman"/>
        </w:rPr>
      </w:pPr>
      <w:r w:rsidRPr="00797159">
        <w:rPr>
          <w:rFonts w:ascii="Times New Roman" w:hAnsi="Times New Roman" w:cs="Times New Roman"/>
          <w:b/>
        </w:rPr>
        <w:t>Feature Development</w:t>
      </w:r>
      <w:r w:rsidRPr="00797159">
        <w:rPr>
          <w:rFonts w:ascii="Times New Roman" w:hAnsi="Times New Roman" w:cs="Times New Roman"/>
        </w:rPr>
        <w:t>: Consider additional engineered features that capture other musical dimensions beyond acoustic-electronic spectrum.</w:t>
      </w:r>
    </w:p>
    <w:p w14:paraId="3343D4E9" w14:textId="77777777" w:rsidR="0057214F" w:rsidRPr="00797159" w:rsidRDefault="00000000" w:rsidP="00797159">
      <w:pPr>
        <w:numPr>
          <w:ilvl w:val="0"/>
          <w:numId w:val="8"/>
        </w:numPr>
        <w:jc w:val="both"/>
        <w:rPr>
          <w:rFonts w:ascii="Times New Roman" w:hAnsi="Times New Roman" w:cs="Times New Roman"/>
        </w:rPr>
      </w:pPr>
      <w:r w:rsidRPr="00797159">
        <w:rPr>
          <w:rFonts w:ascii="Times New Roman" w:hAnsi="Times New Roman" w:cs="Times New Roman"/>
          <w:b/>
        </w:rPr>
        <w:t>Genre Integration</w:t>
      </w:r>
      <w:r w:rsidRPr="00797159">
        <w:rPr>
          <w:rFonts w:ascii="Times New Roman" w:hAnsi="Times New Roman" w:cs="Times New Roman"/>
        </w:rPr>
        <w:t>: Incorporate genre information in future analyses to validate cluster interpretations and discover genre-cluster relationships.</w:t>
      </w:r>
    </w:p>
    <w:p w14:paraId="4C4BC470" w14:textId="77777777" w:rsidR="0057214F" w:rsidRPr="00797159" w:rsidRDefault="00000000" w:rsidP="00797159">
      <w:pPr>
        <w:spacing w:after="210"/>
        <w:jc w:val="both"/>
        <w:rPr>
          <w:rFonts w:ascii="Times New Roman" w:hAnsi="Times New Roman" w:cs="Times New Roman"/>
        </w:rPr>
      </w:pPr>
      <w:r w:rsidRPr="00797159">
        <w:rPr>
          <w:rFonts w:ascii="Times New Roman" w:hAnsi="Times New Roman" w:cs="Times New Roman"/>
        </w:rPr>
        <w:t>The analysis demonstrates that even with relatively simple audio features, meaningful musical patterns can be identified through clustering techniques. The acoustic-electronic dimension emerges as a fundamental organizing principle in contemporary music catalogs.</w:t>
      </w:r>
    </w:p>
    <w:p w14:paraId="2E197E60" w14:textId="77777777" w:rsidR="00797159" w:rsidRDefault="00797159" w:rsidP="00797159">
      <w:pPr>
        <w:spacing w:before="240" w:line="271" w:lineRule="auto"/>
        <w:jc w:val="both"/>
        <w:rPr>
          <w:rFonts w:ascii="Times New Roman" w:hAnsi="Times New Roman" w:cs="Times New Roman"/>
          <w:b/>
          <w:sz w:val="42"/>
        </w:rPr>
      </w:pPr>
      <w:bookmarkStart w:id="19" w:name="references"/>
    </w:p>
    <w:p w14:paraId="04977CD0" w14:textId="77777777" w:rsidR="00797159" w:rsidRDefault="00797159" w:rsidP="00797159">
      <w:pPr>
        <w:spacing w:before="240" w:line="271" w:lineRule="auto"/>
        <w:jc w:val="both"/>
        <w:rPr>
          <w:rFonts w:ascii="Times New Roman" w:hAnsi="Times New Roman" w:cs="Times New Roman"/>
          <w:b/>
          <w:sz w:val="42"/>
        </w:rPr>
      </w:pPr>
    </w:p>
    <w:p w14:paraId="71BFF9DF" w14:textId="77777777" w:rsidR="00797159" w:rsidRDefault="00797159" w:rsidP="00797159">
      <w:pPr>
        <w:spacing w:before="240" w:line="271" w:lineRule="auto"/>
        <w:jc w:val="both"/>
        <w:rPr>
          <w:rFonts w:ascii="Times New Roman" w:hAnsi="Times New Roman" w:cs="Times New Roman"/>
          <w:b/>
          <w:sz w:val="42"/>
        </w:rPr>
      </w:pPr>
    </w:p>
    <w:p w14:paraId="300773DE" w14:textId="77777777" w:rsidR="00797159" w:rsidRDefault="00797159" w:rsidP="00797159">
      <w:pPr>
        <w:spacing w:before="240" w:line="271" w:lineRule="auto"/>
        <w:jc w:val="both"/>
        <w:rPr>
          <w:rFonts w:ascii="Times New Roman" w:hAnsi="Times New Roman" w:cs="Times New Roman"/>
          <w:b/>
          <w:sz w:val="42"/>
        </w:rPr>
      </w:pPr>
    </w:p>
    <w:p w14:paraId="11BBD5B5" w14:textId="6CE1DDD0" w:rsidR="0057214F" w:rsidRDefault="00000000" w:rsidP="00797159">
      <w:pPr>
        <w:spacing w:before="240" w:line="271" w:lineRule="auto"/>
        <w:jc w:val="both"/>
        <w:rPr>
          <w:rFonts w:ascii="Times New Roman" w:hAnsi="Times New Roman" w:cs="Times New Roman"/>
          <w:b/>
          <w:sz w:val="42"/>
        </w:rPr>
      </w:pPr>
      <w:r w:rsidRPr="00797159">
        <w:rPr>
          <w:rFonts w:ascii="Times New Roman" w:hAnsi="Times New Roman" w:cs="Times New Roman"/>
          <w:b/>
          <w:sz w:val="42"/>
        </w:rPr>
        <w:lastRenderedPageBreak/>
        <w:t>References</w:t>
      </w:r>
      <w:bookmarkEnd w:id="19"/>
    </w:p>
    <w:p w14:paraId="15540ECE"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[1] </w:t>
      </w:r>
      <w:proofErr w:type="spellStart"/>
      <w:r w:rsidRPr="00FB313B">
        <w:rPr>
          <w:rFonts w:ascii="Times New Roman" w:hAnsi="Times New Roman" w:cs="Times New Roman"/>
          <w:sz w:val="24"/>
          <w:szCs w:val="24"/>
        </w:rPr>
        <w:t>Rousseeuw</w:t>
      </w:r>
      <w:proofErr w:type="spellEnd"/>
      <w:r w:rsidRPr="00FB313B">
        <w:rPr>
          <w:rFonts w:ascii="Times New Roman" w:hAnsi="Times New Roman" w:cs="Times New Roman"/>
          <w:sz w:val="24"/>
          <w:szCs w:val="24"/>
        </w:rPr>
        <w:t xml:space="preserve">, P. J. (1987). Silhouettes: A graphical aid to the interpretation of cluster analysis. </w:t>
      </w:r>
      <w:r w:rsidRPr="00FB313B">
        <w:rPr>
          <w:rFonts w:ascii="Times New Roman" w:hAnsi="Times New Roman" w:cs="Times New Roman"/>
          <w:i/>
          <w:sz w:val="24"/>
          <w:szCs w:val="24"/>
        </w:rPr>
        <w:t>Journal of Computational and Applied Mathematics</w:t>
      </w:r>
      <w:r w:rsidRPr="00FB313B">
        <w:rPr>
          <w:rFonts w:ascii="Times New Roman" w:hAnsi="Times New Roman" w:cs="Times New Roman"/>
          <w:sz w:val="24"/>
          <w:szCs w:val="24"/>
        </w:rPr>
        <w:t xml:space="preserve">, 20, 53-65. </w:t>
      </w:r>
      <w:hyperlink r:id="rId9">
        <w:r w:rsidRPr="00FB313B">
          <w:rPr>
            <w:rFonts w:ascii="Times New Roman" w:hAnsi="Times New Roman" w:cs="Times New Roman"/>
            <w:color w:val="4472C4"/>
            <w:sz w:val="24"/>
            <w:szCs w:val="24"/>
          </w:rPr>
          <w:t>https://doi.org/10.1016/0377-0427(87)90125-7</w:t>
        </w:r>
      </w:hyperlink>
    </w:p>
    <w:p w14:paraId="54C8BC64"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[2] Davies, D. L., &amp; Bouldin, D. W. (1979). A cluster separation measure. </w:t>
      </w:r>
      <w:r w:rsidRPr="00FB313B">
        <w:rPr>
          <w:rFonts w:ascii="Times New Roman" w:hAnsi="Times New Roman" w:cs="Times New Roman"/>
          <w:i/>
          <w:sz w:val="24"/>
          <w:szCs w:val="24"/>
        </w:rPr>
        <w:t>IEEE Transactions on Pattern Analysis and Machine Intelligence</w:t>
      </w:r>
      <w:r w:rsidRPr="00FB313B">
        <w:rPr>
          <w:rFonts w:ascii="Times New Roman" w:hAnsi="Times New Roman" w:cs="Times New Roman"/>
          <w:sz w:val="24"/>
          <w:szCs w:val="24"/>
        </w:rPr>
        <w:t xml:space="preserve">, 1(2), 224-227. </w:t>
      </w:r>
      <w:hyperlink r:id="rId10">
        <w:r w:rsidRPr="00FB313B">
          <w:rPr>
            <w:rFonts w:ascii="Times New Roman" w:hAnsi="Times New Roman" w:cs="Times New Roman"/>
            <w:color w:val="4472C4"/>
            <w:sz w:val="24"/>
            <w:szCs w:val="24"/>
          </w:rPr>
          <w:t>https://doi.org/10.1109/TPAMI.1979.4766909</w:t>
        </w:r>
      </w:hyperlink>
    </w:p>
    <w:p w14:paraId="33F03413"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[3] Zaki, M. J., &amp; Meira, W. (2020). </w:t>
      </w:r>
      <w:r w:rsidRPr="00FB313B">
        <w:rPr>
          <w:rFonts w:ascii="Times New Roman" w:hAnsi="Times New Roman" w:cs="Times New Roman"/>
          <w:i/>
          <w:sz w:val="24"/>
          <w:szCs w:val="24"/>
        </w:rPr>
        <w:t>Data Mining and Machine Learning: Fundamental Concepts and Algorithms</w:t>
      </w:r>
      <w:r w:rsidRPr="00FB313B">
        <w:rPr>
          <w:rFonts w:ascii="Times New Roman" w:hAnsi="Times New Roman" w:cs="Times New Roman"/>
          <w:sz w:val="24"/>
          <w:szCs w:val="24"/>
        </w:rPr>
        <w:t xml:space="preserve"> (2nd ed.). Cambridge University Press. Chapter 13: Clustering, pp. 337-371.</w:t>
      </w:r>
    </w:p>
    <w:p w14:paraId="210A9E63"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[4] Thorndike, R. L. (1953). Who belongs in the family? </w:t>
      </w:r>
      <w:r w:rsidRPr="00FB313B">
        <w:rPr>
          <w:rFonts w:ascii="Times New Roman" w:hAnsi="Times New Roman" w:cs="Times New Roman"/>
          <w:i/>
          <w:sz w:val="24"/>
          <w:szCs w:val="24"/>
        </w:rPr>
        <w:t>Psychometrika</w:t>
      </w:r>
      <w:r w:rsidRPr="00FB313B">
        <w:rPr>
          <w:rFonts w:ascii="Times New Roman" w:hAnsi="Times New Roman" w:cs="Times New Roman"/>
          <w:sz w:val="24"/>
          <w:szCs w:val="24"/>
        </w:rPr>
        <w:t xml:space="preserve">, 18(4), 267-276. </w:t>
      </w:r>
      <w:hyperlink r:id="rId11">
        <w:r w:rsidRPr="00FB313B">
          <w:rPr>
            <w:rFonts w:ascii="Times New Roman" w:hAnsi="Times New Roman" w:cs="Times New Roman"/>
            <w:color w:val="4472C4"/>
            <w:sz w:val="24"/>
            <w:szCs w:val="24"/>
          </w:rPr>
          <w:t>https://doi.org/10.1007/BF02289263</w:t>
        </w:r>
      </w:hyperlink>
    </w:p>
    <w:p w14:paraId="2F6AFB81"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[5] Quinlan, J. R. (1986). Induction of decision trees. </w:t>
      </w:r>
      <w:r w:rsidRPr="00FB313B">
        <w:rPr>
          <w:rFonts w:ascii="Times New Roman" w:hAnsi="Times New Roman" w:cs="Times New Roman"/>
          <w:i/>
          <w:sz w:val="24"/>
          <w:szCs w:val="24"/>
        </w:rPr>
        <w:t>Machine Learning</w:t>
      </w:r>
      <w:r w:rsidRPr="00FB313B">
        <w:rPr>
          <w:rFonts w:ascii="Times New Roman" w:hAnsi="Times New Roman" w:cs="Times New Roman"/>
          <w:sz w:val="24"/>
          <w:szCs w:val="24"/>
        </w:rPr>
        <w:t xml:space="preserve">, 1(1), 81-106. </w:t>
      </w:r>
      <w:hyperlink r:id="rId12">
        <w:r w:rsidRPr="00FB313B">
          <w:rPr>
            <w:rFonts w:ascii="Times New Roman" w:hAnsi="Times New Roman" w:cs="Times New Roman"/>
            <w:color w:val="4472C4"/>
            <w:sz w:val="24"/>
            <w:szCs w:val="24"/>
          </w:rPr>
          <w:t>https://doi.org/10.1007/BF00116251</w:t>
        </w:r>
      </w:hyperlink>
    </w:p>
    <w:p w14:paraId="363F5EE7"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[6] Jolliffe, I. T., &amp; Cadima, J. (2016). Principal component analysis: A review and recent developments. </w:t>
      </w:r>
      <w:r w:rsidRPr="00FB313B">
        <w:rPr>
          <w:rFonts w:ascii="Times New Roman" w:hAnsi="Times New Roman" w:cs="Times New Roman"/>
          <w:i/>
          <w:sz w:val="24"/>
          <w:szCs w:val="24"/>
        </w:rPr>
        <w:t>Philosophical Transactions of the Royal Society A</w:t>
      </w:r>
      <w:r w:rsidRPr="00FB313B">
        <w:rPr>
          <w:rFonts w:ascii="Times New Roman" w:hAnsi="Times New Roman" w:cs="Times New Roman"/>
          <w:sz w:val="24"/>
          <w:szCs w:val="24"/>
        </w:rPr>
        <w:t xml:space="preserve">, 374(2065), 20150202. </w:t>
      </w:r>
      <w:hyperlink r:id="rId13">
        <w:r w:rsidRPr="00FB313B">
          <w:rPr>
            <w:rFonts w:ascii="Times New Roman" w:hAnsi="Times New Roman" w:cs="Times New Roman"/>
            <w:color w:val="4472C4"/>
            <w:sz w:val="24"/>
            <w:szCs w:val="24"/>
          </w:rPr>
          <w:t>https://doi.org/10.1098/rsta.2015.0202</w:t>
        </w:r>
      </w:hyperlink>
    </w:p>
    <w:p w14:paraId="382891FE"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[7] Breunig, M. M., Kriegel, H. P., Ng, R. T., &amp; Sander, J. (2000). LOF: Identifying density-based local outliers. </w:t>
      </w:r>
      <w:r w:rsidRPr="00FB313B">
        <w:rPr>
          <w:rFonts w:ascii="Times New Roman" w:hAnsi="Times New Roman" w:cs="Times New Roman"/>
          <w:i/>
          <w:sz w:val="24"/>
          <w:szCs w:val="24"/>
        </w:rPr>
        <w:t>ACM SIGMOD Record</w:t>
      </w:r>
      <w:r w:rsidRPr="00FB313B">
        <w:rPr>
          <w:rFonts w:ascii="Times New Roman" w:hAnsi="Times New Roman" w:cs="Times New Roman"/>
          <w:sz w:val="24"/>
          <w:szCs w:val="24"/>
        </w:rPr>
        <w:t xml:space="preserve">, 29(2), 93-104. </w:t>
      </w:r>
      <w:hyperlink r:id="rId14">
        <w:r w:rsidRPr="00FB313B">
          <w:rPr>
            <w:rFonts w:ascii="Times New Roman" w:hAnsi="Times New Roman" w:cs="Times New Roman"/>
            <w:color w:val="4472C4"/>
            <w:sz w:val="24"/>
            <w:szCs w:val="24"/>
          </w:rPr>
          <w:t>https://doi.org/10.1145/335191.335388</w:t>
        </w:r>
      </w:hyperlink>
    </w:p>
    <w:p w14:paraId="0775A175"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[8] Spotify for Developers. (2024). Web API Audio Features. </w:t>
      </w:r>
      <w:hyperlink r:id="rId15">
        <w:r w:rsidRPr="00FB313B">
          <w:rPr>
            <w:rFonts w:ascii="Times New Roman" w:hAnsi="Times New Roman" w:cs="Times New Roman"/>
            <w:color w:val="4472C4"/>
            <w:sz w:val="24"/>
            <w:szCs w:val="24"/>
          </w:rPr>
          <w:t>https://developer.spotify.com/documentation/web-api/reference/get-audio-features</w:t>
        </w:r>
      </w:hyperlink>
    </w:p>
    <w:p w14:paraId="46BFB35C" w14:textId="77777777" w:rsidR="00797159" w:rsidRPr="00FB313B" w:rsidRDefault="00797159" w:rsidP="00797159">
      <w:pPr>
        <w:spacing w:after="210"/>
        <w:rPr>
          <w:rFonts w:ascii="Times New Roman" w:hAnsi="Times New Roman" w:cs="Times New Roman"/>
          <w:sz w:val="24"/>
          <w:szCs w:val="24"/>
        </w:rPr>
      </w:pPr>
      <w:r w:rsidRPr="00FB313B">
        <w:rPr>
          <w:rFonts w:ascii="Times New Roman" w:hAnsi="Times New Roman" w:cs="Times New Roman"/>
          <w:sz w:val="24"/>
          <w:szCs w:val="24"/>
        </w:rPr>
        <w:t xml:space="preserve">[9] Zaki, M. J., &amp; Meira, W. (2020). </w:t>
      </w:r>
      <w:r w:rsidRPr="00FB313B">
        <w:rPr>
          <w:rFonts w:ascii="Times New Roman" w:hAnsi="Times New Roman" w:cs="Times New Roman"/>
          <w:i/>
          <w:sz w:val="24"/>
          <w:szCs w:val="24"/>
        </w:rPr>
        <w:t>Data Mining and Machine Learning</w:t>
      </w:r>
      <w:r w:rsidRPr="00FB313B">
        <w:rPr>
          <w:rFonts w:ascii="Times New Roman" w:hAnsi="Times New Roman" w:cs="Times New Roman"/>
          <w:sz w:val="24"/>
          <w:szCs w:val="24"/>
        </w:rPr>
        <w:t xml:space="preserve"> (2nd ed.). Chapter 19: Decision Tree Classifier, pp. 491-516.</w:t>
      </w:r>
    </w:p>
    <w:p w14:paraId="15D7DD5E" w14:textId="77777777" w:rsidR="00797159" w:rsidRPr="00797159" w:rsidRDefault="00797159" w:rsidP="00797159">
      <w:pPr>
        <w:spacing w:before="240" w:line="271" w:lineRule="auto"/>
        <w:jc w:val="both"/>
        <w:rPr>
          <w:rFonts w:ascii="Times New Roman" w:hAnsi="Times New Roman" w:cs="Times New Roman"/>
        </w:rPr>
      </w:pPr>
    </w:p>
    <w:sectPr w:rsidR="00797159" w:rsidRPr="00797159">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2B54"/>
    <w:multiLevelType w:val="hybridMultilevel"/>
    <w:tmpl w:val="E7788D88"/>
    <w:lvl w:ilvl="0" w:tplc="FBBE6B4A">
      <w:start w:val="1"/>
      <w:numFmt w:val="none"/>
      <w:lvlText w:val="•"/>
      <w:lvlJc w:val="left"/>
      <w:pPr>
        <w:tabs>
          <w:tab w:val="num" w:pos="1080"/>
        </w:tabs>
        <w:ind w:left="720" w:hanging="360"/>
      </w:pPr>
      <w:rPr>
        <w:rFonts w:ascii="Georgia" w:eastAsia="Georgia" w:hAnsi="Georgia" w:cs="Georgia"/>
      </w:rPr>
    </w:lvl>
    <w:lvl w:ilvl="1" w:tplc="7AF0B52A">
      <w:numFmt w:val="decimal"/>
      <w:lvlText w:val=""/>
      <w:lvlJc w:val="left"/>
    </w:lvl>
    <w:lvl w:ilvl="2" w:tplc="B4D4BB1A">
      <w:numFmt w:val="decimal"/>
      <w:lvlText w:val=""/>
      <w:lvlJc w:val="left"/>
    </w:lvl>
    <w:lvl w:ilvl="3" w:tplc="580C1746">
      <w:numFmt w:val="decimal"/>
      <w:lvlText w:val=""/>
      <w:lvlJc w:val="left"/>
    </w:lvl>
    <w:lvl w:ilvl="4" w:tplc="3BE29624">
      <w:numFmt w:val="decimal"/>
      <w:lvlText w:val=""/>
      <w:lvlJc w:val="left"/>
    </w:lvl>
    <w:lvl w:ilvl="5" w:tplc="688070F0">
      <w:numFmt w:val="decimal"/>
      <w:lvlText w:val=""/>
      <w:lvlJc w:val="left"/>
    </w:lvl>
    <w:lvl w:ilvl="6" w:tplc="2D769670">
      <w:numFmt w:val="decimal"/>
      <w:lvlText w:val=""/>
      <w:lvlJc w:val="left"/>
    </w:lvl>
    <w:lvl w:ilvl="7" w:tplc="D9820B20">
      <w:numFmt w:val="decimal"/>
      <w:lvlText w:val=""/>
      <w:lvlJc w:val="left"/>
    </w:lvl>
    <w:lvl w:ilvl="8" w:tplc="4E72C988">
      <w:numFmt w:val="decimal"/>
      <w:lvlText w:val=""/>
      <w:lvlJc w:val="left"/>
    </w:lvl>
  </w:abstractNum>
  <w:abstractNum w:abstractNumId="1" w15:restartNumberingAfterBreak="0">
    <w:nsid w:val="109E35F6"/>
    <w:multiLevelType w:val="hybridMultilevel"/>
    <w:tmpl w:val="BC325230"/>
    <w:lvl w:ilvl="0" w:tplc="952EA22E">
      <w:start w:val="1"/>
      <w:numFmt w:val="none"/>
      <w:lvlText w:val="•"/>
      <w:lvlJc w:val="left"/>
      <w:pPr>
        <w:tabs>
          <w:tab w:val="num" w:pos="1080"/>
        </w:tabs>
        <w:ind w:left="720" w:hanging="360"/>
      </w:pPr>
      <w:rPr>
        <w:rFonts w:ascii="Georgia" w:eastAsia="Georgia" w:hAnsi="Georgia" w:cs="Georgia"/>
      </w:rPr>
    </w:lvl>
    <w:lvl w:ilvl="1" w:tplc="5BAA11E8">
      <w:numFmt w:val="decimal"/>
      <w:lvlText w:val=""/>
      <w:lvlJc w:val="left"/>
    </w:lvl>
    <w:lvl w:ilvl="2" w:tplc="323A2752">
      <w:numFmt w:val="decimal"/>
      <w:lvlText w:val=""/>
      <w:lvlJc w:val="left"/>
    </w:lvl>
    <w:lvl w:ilvl="3" w:tplc="C28608A2">
      <w:numFmt w:val="decimal"/>
      <w:lvlText w:val=""/>
      <w:lvlJc w:val="left"/>
    </w:lvl>
    <w:lvl w:ilvl="4" w:tplc="911C69AC">
      <w:numFmt w:val="decimal"/>
      <w:lvlText w:val=""/>
      <w:lvlJc w:val="left"/>
    </w:lvl>
    <w:lvl w:ilvl="5" w:tplc="5C2C7CA2">
      <w:numFmt w:val="decimal"/>
      <w:lvlText w:val=""/>
      <w:lvlJc w:val="left"/>
    </w:lvl>
    <w:lvl w:ilvl="6" w:tplc="D5D0177E">
      <w:numFmt w:val="decimal"/>
      <w:lvlText w:val=""/>
      <w:lvlJc w:val="left"/>
    </w:lvl>
    <w:lvl w:ilvl="7" w:tplc="851AD3CC">
      <w:numFmt w:val="decimal"/>
      <w:lvlText w:val=""/>
      <w:lvlJc w:val="left"/>
    </w:lvl>
    <w:lvl w:ilvl="8" w:tplc="BF3AA4FA">
      <w:numFmt w:val="decimal"/>
      <w:lvlText w:val=""/>
      <w:lvlJc w:val="left"/>
    </w:lvl>
  </w:abstractNum>
  <w:abstractNum w:abstractNumId="2" w15:restartNumberingAfterBreak="0">
    <w:nsid w:val="1BE020AA"/>
    <w:multiLevelType w:val="hybridMultilevel"/>
    <w:tmpl w:val="93A46A88"/>
    <w:lvl w:ilvl="0" w:tplc="5776CAAC">
      <w:start w:val="1"/>
      <w:numFmt w:val="none"/>
      <w:lvlText w:val="•"/>
      <w:lvlJc w:val="left"/>
      <w:pPr>
        <w:tabs>
          <w:tab w:val="num" w:pos="1080"/>
        </w:tabs>
        <w:ind w:left="720" w:hanging="360"/>
      </w:pPr>
      <w:rPr>
        <w:rFonts w:ascii="Georgia" w:eastAsia="Georgia" w:hAnsi="Georgia" w:cs="Georgia"/>
      </w:rPr>
    </w:lvl>
    <w:lvl w:ilvl="1" w:tplc="B7EA1944">
      <w:numFmt w:val="decimal"/>
      <w:lvlText w:val=""/>
      <w:lvlJc w:val="left"/>
    </w:lvl>
    <w:lvl w:ilvl="2" w:tplc="B516AC3A">
      <w:numFmt w:val="decimal"/>
      <w:lvlText w:val=""/>
      <w:lvlJc w:val="left"/>
    </w:lvl>
    <w:lvl w:ilvl="3" w:tplc="B97C4932">
      <w:numFmt w:val="decimal"/>
      <w:lvlText w:val=""/>
      <w:lvlJc w:val="left"/>
    </w:lvl>
    <w:lvl w:ilvl="4" w:tplc="7682D696">
      <w:numFmt w:val="decimal"/>
      <w:lvlText w:val=""/>
      <w:lvlJc w:val="left"/>
    </w:lvl>
    <w:lvl w:ilvl="5" w:tplc="D2E64872">
      <w:numFmt w:val="decimal"/>
      <w:lvlText w:val=""/>
      <w:lvlJc w:val="left"/>
    </w:lvl>
    <w:lvl w:ilvl="6" w:tplc="B60801AC">
      <w:numFmt w:val="decimal"/>
      <w:lvlText w:val=""/>
      <w:lvlJc w:val="left"/>
    </w:lvl>
    <w:lvl w:ilvl="7" w:tplc="74C4FE42">
      <w:numFmt w:val="decimal"/>
      <w:lvlText w:val=""/>
      <w:lvlJc w:val="left"/>
    </w:lvl>
    <w:lvl w:ilvl="8" w:tplc="E2685FF2">
      <w:numFmt w:val="decimal"/>
      <w:lvlText w:val=""/>
      <w:lvlJc w:val="left"/>
    </w:lvl>
  </w:abstractNum>
  <w:abstractNum w:abstractNumId="3" w15:restartNumberingAfterBreak="0">
    <w:nsid w:val="2758023E"/>
    <w:multiLevelType w:val="hybridMultilevel"/>
    <w:tmpl w:val="4AAAE56E"/>
    <w:lvl w:ilvl="0" w:tplc="38A80280">
      <w:start w:val="1"/>
      <w:numFmt w:val="none"/>
      <w:lvlText w:val="•"/>
      <w:lvlJc w:val="left"/>
      <w:pPr>
        <w:tabs>
          <w:tab w:val="num" w:pos="1080"/>
        </w:tabs>
        <w:ind w:left="720" w:hanging="360"/>
      </w:pPr>
      <w:rPr>
        <w:rFonts w:ascii="Georgia" w:eastAsia="Georgia" w:hAnsi="Georgia" w:cs="Georgia"/>
      </w:rPr>
    </w:lvl>
    <w:lvl w:ilvl="1" w:tplc="61EE7454">
      <w:numFmt w:val="decimal"/>
      <w:lvlText w:val=""/>
      <w:lvlJc w:val="left"/>
    </w:lvl>
    <w:lvl w:ilvl="2" w:tplc="2320D4EC">
      <w:numFmt w:val="decimal"/>
      <w:lvlText w:val=""/>
      <w:lvlJc w:val="left"/>
    </w:lvl>
    <w:lvl w:ilvl="3" w:tplc="ECB0D55E">
      <w:numFmt w:val="decimal"/>
      <w:lvlText w:val=""/>
      <w:lvlJc w:val="left"/>
    </w:lvl>
    <w:lvl w:ilvl="4" w:tplc="F0404A04">
      <w:numFmt w:val="decimal"/>
      <w:lvlText w:val=""/>
      <w:lvlJc w:val="left"/>
    </w:lvl>
    <w:lvl w:ilvl="5" w:tplc="EB444BE8">
      <w:numFmt w:val="decimal"/>
      <w:lvlText w:val=""/>
      <w:lvlJc w:val="left"/>
    </w:lvl>
    <w:lvl w:ilvl="6" w:tplc="930A6A5C">
      <w:numFmt w:val="decimal"/>
      <w:lvlText w:val=""/>
      <w:lvlJc w:val="left"/>
    </w:lvl>
    <w:lvl w:ilvl="7" w:tplc="E8A6CBFC">
      <w:numFmt w:val="decimal"/>
      <w:lvlText w:val=""/>
      <w:lvlJc w:val="left"/>
    </w:lvl>
    <w:lvl w:ilvl="8" w:tplc="3FA2B77A">
      <w:numFmt w:val="decimal"/>
      <w:lvlText w:val=""/>
      <w:lvlJc w:val="left"/>
    </w:lvl>
  </w:abstractNum>
  <w:abstractNum w:abstractNumId="4" w15:restartNumberingAfterBreak="0">
    <w:nsid w:val="2D223AE7"/>
    <w:multiLevelType w:val="hybridMultilevel"/>
    <w:tmpl w:val="D7EE75EA"/>
    <w:lvl w:ilvl="0" w:tplc="01E07144">
      <w:start w:val="1"/>
      <w:numFmt w:val="bullet"/>
      <w:lvlText w:val=""/>
      <w:lvlJc w:val="left"/>
      <w:pPr>
        <w:tabs>
          <w:tab w:val="num" w:pos="1080"/>
        </w:tabs>
        <w:ind w:left="720" w:hanging="360"/>
      </w:pPr>
      <w:rPr>
        <w:rFonts w:ascii="Symbol" w:hAnsi="Symbol" w:hint="default"/>
      </w:rPr>
    </w:lvl>
    <w:lvl w:ilvl="1" w:tplc="B7024442">
      <w:numFmt w:val="decimal"/>
      <w:lvlText w:val=""/>
      <w:lvlJc w:val="left"/>
    </w:lvl>
    <w:lvl w:ilvl="2" w:tplc="0C56A47C">
      <w:numFmt w:val="decimal"/>
      <w:lvlText w:val=""/>
      <w:lvlJc w:val="left"/>
    </w:lvl>
    <w:lvl w:ilvl="3" w:tplc="A99C5E20">
      <w:numFmt w:val="decimal"/>
      <w:lvlText w:val=""/>
      <w:lvlJc w:val="left"/>
    </w:lvl>
    <w:lvl w:ilvl="4" w:tplc="52FE5064">
      <w:numFmt w:val="decimal"/>
      <w:lvlText w:val=""/>
      <w:lvlJc w:val="left"/>
    </w:lvl>
    <w:lvl w:ilvl="5" w:tplc="8E0CC6F6">
      <w:numFmt w:val="decimal"/>
      <w:lvlText w:val=""/>
      <w:lvlJc w:val="left"/>
    </w:lvl>
    <w:lvl w:ilvl="6" w:tplc="3D8C77AA">
      <w:numFmt w:val="decimal"/>
      <w:lvlText w:val=""/>
      <w:lvlJc w:val="left"/>
    </w:lvl>
    <w:lvl w:ilvl="7" w:tplc="311A25CE">
      <w:numFmt w:val="decimal"/>
      <w:lvlText w:val=""/>
      <w:lvlJc w:val="left"/>
    </w:lvl>
    <w:lvl w:ilvl="8" w:tplc="A76096EE">
      <w:numFmt w:val="decimal"/>
      <w:lvlText w:val=""/>
      <w:lvlJc w:val="left"/>
    </w:lvl>
  </w:abstractNum>
  <w:abstractNum w:abstractNumId="5" w15:restartNumberingAfterBreak="0">
    <w:nsid w:val="4D8C3E48"/>
    <w:multiLevelType w:val="hybridMultilevel"/>
    <w:tmpl w:val="158012EA"/>
    <w:lvl w:ilvl="0" w:tplc="DCB47240">
      <w:start w:val="1"/>
      <w:numFmt w:val="decimal"/>
      <w:lvlText w:val="%1."/>
      <w:lvlJc w:val="left"/>
      <w:pPr>
        <w:tabs>
          <w:tab w:val="num" w:pos="1080"/>
        </w:tabs>
        <w:ind w:left="720" w:hanging="360"/>
      </w:pPr>
    </w:lvl>
    <w:lvl w:ilvl="1" w:tplc="99DC03CE">
      <w:numFmt w:val="decimal"/>
      <w:lvlText w:val=""/>
      <w:lvlJc w:val="left"/>
    </w:lvl>
    <w:lvl w:ilvl="2" w:tplc="587AB276">
      <w:numFmt w:val="decimal"/>
      <w:lvlText w:val=""/>
      <w:lvlJc w:val="left"/>
    </w:lvl>
    <w:lvl w:ilvl="3" w:tplc="0AB4F966">
      <w:numFmt w:val="decimal"/>
      <w:lvlText w:val=""/>
      <w:lvlJc w:val="left"/>
    </w:lvl>
    <w:lvl w:ilvl="4" w:tplc="42E26ADA">
      <w:numFmt w:val="decimal"/>
      <w:lvlText w:val=""/>
      <w:lvlJc w:val="left"/>
    </w:lvl>
    <w:lvl w:ilvl="5" w:tplc="B3C28724">
      <w:numFmt w:val="decimal"/>
      <w:lvlText w:val=""/>
      <w:lvlJc w:val="left"/>
    </w:lvl>
    <w:lvl w:ilvl="6" w:tplc="1658B574">
      <w:numFmt w:val="decimal"/>
      <w:lvlText w:val=""/>
      <w:lvlJc w:val="left"/>
    </w:lvl>
    <w:lvl w:ilvl="7" w:tplc="CF8E1134">
      <w:numFmt w:val="decimal"/>
      <w:lvlText w:val=""/>
      <w:lvlJc w:val="left"/>
    </w:lvl>
    <w:lvl w:ilvl="8" w:tplc="5B88C498">
      <w:numFmt w:val="decimal"/>
      <w:lvlText w:val=""/>
      <w:lvlJc w:val="left"/>
    </w:lvl>
  </w:abstractNum>
  <w:abstractNum w:abstractNumId="6" w15:restartNumberingAfterBreak="0">
    <w:nsid w:val="60E45018"/>
    <w:multiLevelType w:val="hybridMultilevel"/>
    <w:tmpl w:val="FDB6E1BA"/>
    <w:lvl w:ilvl="0" w:tplc="482E9202">
      <w:start w:val="1"/>
      <w:numFmt w:val="none"/>
      <w:lvlText w:val="•"/>
      <w:lvlJc w:val="left"/>
      <w:pPr>
        <w:tabs>
          <w:tab w:val="num" w:pos="1080"/>
        </w:tabs>
        <w:ind w:left="720" w:hanging="360"/>
      </w:pPr>
      <w:rPr>
        <w:rFonts w:ascii="Georgia" w:eastAsia="Georgia" w:hAnsi="Georgia" w:cs="Georgia"/>
      </w:rPr>
    </w:lvl>
    <w:lvl w:ilvl="1" w:tplc="D0CC9EBC">
      <w:numFmt w:val="decimal"/>
      <w:lvlText w:val=""/>
      <w:lvlJc w:val="left"/>
    </w:lvl>
    <w:lvl w:ilvl="2" w:tplc="015464E0">
      <w:numFmt w:val="decimal"/>
      <w:lvlText w:val=""/>
      <w:lvlJc w:val="left"/>
    </w:lvl>
    <w:lvl w:ilvl="3" w:tplc="47BC628A">
      <w:numFmt w:val="decimal"/>
      <w:lvlText w:val=""/>
      <w:lvlJc w:val="left"/>
    </w:lvl>
    <w:lvl w:ilvl="4" w:tplc="D09C8E80">
      <w:numFmt w:val="decimal"/>
      <w:lvlText w:val=""/>
      <w:lvlJc w:val="left"/>
    </w:lvl>
    <w:lvl w:ilvl="5" w:tplc="2682B108">
      <w:numFmt w:val="decimal"/>
      <w:lvlText w:val=""/>
      <w:lvlJc w:val="left"/>
    </w:lvl>
    <w:lvl w:ilvl="6" w:tplc="17E638E0">
      <w:numFmt w:val="decimal"/>
      <w:lvlText w:val=""/>
      <w:lvlJc w:val="left"/>
    </w:lvl>
    <w:lvl w:ilvl="7" w:tplc="409AC576">
      <w:numFmt w:val="decimal"/>
      <w:lvlText w:val=""/>
      <w:lvlJc w:val="left"/>
    </w:lvl>
    <w:lvl w:ilvl="8" w:tplc="E3C0E1FE">
      <w:numFmt w:val="decimal"/>
      <w:lvlText w:val=""/>
      <w:lvlJc w:val="left"/>
    </w:lvl>
  </w:abstractNum>
  <w:abstractNum w:abstractNumId="7" w15:restartNumberingAfterBreak="0">
    <w:nsid w:val="67EC132A"/>
    <w:multiLevelType w:val="hybridMultilevel"/>
    <w:tmpl w:val="F13AC60C"/>
    <w:lvl w:ilvl="0" w:tplc="3E166312">
      <w:start w:val="1"/>
      <w:numFmt w:val="bullet"/>
      <w:lvlText w:val=""/>
      <w:lvlJc w:val="left"/>
      <w:pPr>
        <w:tabs>
          <w:tab w:val="num" w:pos="1080"/>
        </w:tabs>
        <w:ind w:left="720" w:hanging="360"/>
      </w:pPr>
      <w:rPr>
        <w:rFonts w:ascii="Symbol" w:hAnsi="Symbol" w:hint="default"/>
      </w:rPr>
    </w:lvl>
    <w:lvl w:ilvl="1" w:tplc="456CC1B8">
      <w:numFmt w:val="decimal"/>
      <w:lvlText w:val=""/>
      <w:lvlJc w:val="left"/>
    </w:lvl>
    <w:lvl w:ilvl="2" w:tplc="6486FF8E">
      <w:numFmt w:val="decimal"/>
      <w:lvlText w:val=""/>
      <w:lvlJc w:val="left"/>
    </w:lvl>
    <w:lvl w:ilvl="3" w:tplc="9C2CDE44">
      <w:numFmt w:val="decimal"/>
      <w:lvlText w:val=""/>
      <w:lvlJc w:val="left"/>
    </w:lvl>
    <w:lvl w:ilvl="4" w:tplc="952AF74E">
      <w:numFmt w:val="decimal"/>
      <w:lvlText w:val=""/>
      <w:lvlJc w:val="left"/>
    </w:lvl>
    <w:lvl w:ilvl="5" w:tplc="2BEE92C4">
      <w:numFmt w:val="decimal"/>
      <w:lvlText w:val=""/>
      <w:lvlJc w:val="left"/>
    </w:lvl>
    <w:lvl w:ilvl="6" w:tplc="CC5EBCD6">
      <w:numFmt w:val="decimal"/>
      <w:lvlText w:val=""/>
      <w:lvlJc w:val="left"/>
    </w:lvl>
    <w:lvl w:ilvl="7" w:tplc="D0C009C6">
      <w:numFmt w:val="decimal"/>
      <w:lvlText w:val=""/>
      <w:lvlJc w:val="left"/>
    </w:lvl>
    <w:lvl w:ilvl="8" w:tplc="3DB6F2B4">
      <w:numFmt w:val="decimal"/>
      <w:lvlText w:val=""/>
      <w:lvlJc w:val="left"/>
    </w:lvl>
  </w:abstractNum>
  <w:num w:numId="1" w16cid:durableId="920258777">
    <w:abstractNumId w:val="1"/>
  </w:num>
  <w:num w:numId="2" w16cid:durableId="1871452462">
    <w:abstractNumId w:val="3"/>
  </w:num>
  <w:num w:numId="3" w16cid:durableId="599488606">
    <w:abstractNumId w:val="4"/>
  </w:num>
  <w:num w:numId="4" w16cid:durableId="1434400843">
    <w:abstractNumId w:val="7"/>
  </w:num>
  <w:num w:numId="5" w16cid:durableId="237251736">
    <w:abstractNumId w:val="6"/>
  </w:num>
  <w:num w:numId="6" w16cid:durableId="288320732">
    <w:abstractNumId w:val="0"/>
  </w:num>
  <w:num w:numId="7" w16cid:durableId="1737968505">
    <w:abstractNumId w:val="5"/>
  </w:num>
  <w:num w:numId="8" w16cid:durableId="1270626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14F"/>
    <w:rsid w:val="0057214F"/>
    <w:rsid w:val="00797159"/>
    <w:rsid w:val="009D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79CD"/>
  <w15:docId w15:val="{1C059434-64B1-4582-B65B-D7CD051A5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98/rsta.2015.020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07/BF0011625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BF02289263" TargetMode="External"/><Relationship Id="rId5" Type="http://schemas.openxmlformats.org/officeDocument/2006/relationships/image" Target="media/image1.png"/><Relationship Id="rId15" Type="http://schemas.openxmlformats.org/officeDocument/2006/relationships/hyperlink" Target="https://developer.spotify.com/documentation/web-api/reference/get-audio-features" TargetMode="External"/><Relationship Id="rId10" Type="http://schemas.openxmlformats.org/officeDocument/2006/relationships/hyperlink" Target="https://doi.org/10.1109/TPAMI.1979.4766909" TargetMode="External"/><Relationship Id="rId4" Type="http://schemas.openxmlformats.org/officeDocument/2006/relationships/webSettings" Target="webSettings.xml"/><Relationship Id="rId9" Type="http://schemas.openxmlformats.org/officeDocument/2006/relationships/hyperlink" Target="https://doi.org/10.1016/0377-0427(87)90125-7" TargetMode="External"/><Relationship Id="rId14" Type="http://schemas.openxmlformats.org/officeDocument/2006/relationships/hyperlink" Target="https://doi.org/10.1145/335191.3353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1827</Words>
  <Characters>10415</Characters>
  <Application>Microsoft Office Word</Application>
  <DocSecurity>0</DocSecurity>
  <Lines>86</Lines>
  <Paragraphs>24</Paragraphs>
  <ScaleCrop>false</ScaleCrop>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Abhishek Kumar</cp:lastModifiedBy>
  <cp:revision>2</cp:revision>
  <dcterms:created xsi:type="dcterms:W3CDTF">2026-03-14T07:50:00Z</dcterms:created>
  <dcterms:modified xsi:type="dcterms:W3CDTF">2026-03-14T08:00:00Z</dcterms:modified>
</cp:coreProperties>
</file>