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c>
          <w:tcPr>
            <w:tcW w:type="dxa" w:w="9866"/>
            <w:shd w:fill="1F6A52"/>
            <w:tcMar>
              <w:top w:w="220" w:type="dxa"/>
              <w:start w:w="180" w:type="dxa"/>
              <w:bottom w:w="220" w:type="dxa"/>
              <w:end w:w="180" w:type="dxa"/>
            </w:tcMar>
          </w:tcPr>
          <w:p>
            <w:pPr>
              <w:jc w:val="left"/>
            </w:pPr>
            <w:r>
              <w:rPr>
                <w:rFonts w:ascii="Arial" w:hAnsi="Arial"/>
                <w:b/>
                <w:color w:val="FFFFFF"/>
                <w:sz w:val="48"/>
              </w:rPr>
              <w:t>Guide de déploiement et d'exploitation Wazuh</w:t>
              <w:br/>
            </w:r>
            <w:r>
              <w:rPr>
                <w:rFonts w:ascii="Arial" w:hAnsi="Arial"/>
                <w:b/>
                <w:color w:val="EAF5F0"/>
                <w:sz w:val="32"/>
              </w:rPr>
              <w:t>Cadre entreprise pour environnement Obeo</w:t>
              <w:br/>
            </w:r>
            <w:r>
              <w:rPr>
                <w:rFonts w:ascii="Arial" w:hAnsi="Arial"/>
                <w:color w:val="FFFFFF"/>
                <w:sz w:val="21"/>
              </w:rPr>
              <w:t>Architecture, configuration, dashboards, règles de détection, conformité et intégrations cloud/SaaS</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But du document</w:t>
            </w:r>
          </w:p>
          <w:p>
            <w:pPr>
              <w:spacing w:before="0" w:after="40" w:line="276" w:lineRule="auto"/>
              <w:ind w:left="170" w:hanging="113"/>
            </w:pPr>
            <w:r>
              <w:t>• Donner un cadre propre, clair et exploitable pour mettre Wazuh en production en entreprise.</w:t>
            </w:r>
          </w:p>
          <w:p>
            <w:pPr>
              <w:spacing w:before="0" w:after="40" w:line="276" w:lineRule="auto"/>
              <w:ind w:left="170" w:hanging="113"/>
            </w:pPr>
            <w:r>
              <w:t>• Couvrir la partie plateforme, la partie dashboard et la partie détection, sans oublier la conformité et les intégrations tierces.</w:t>
            </w:r>
          </w:p>
          <w:p>
            <w:pPr>
              <w:spacing w:before="0" w:after="40" w:line="276" w:lineRule="auto"/>
              <w:ind w:left="170" w:hanging="113"/>
            </w:pPr>
            <w:r>
              <w:t>• Fournir des exemples de configuration prêts à adapter, pas des recettes figées.</w:t>
            </w:r>
          </w:p>
        </w:tc>
      </w:tr>
    </w:tbl>
    <w:p/>
    <w:p>
      <w:pPr>
        <w:pStyle w:val="MiniHeading"/>
        <w:spacing w:before="0" w:after="80" w:line="276" w:lineRule="auto"/>
      </w:pPr>
      <w:r>
        <w:t>Métadonnées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51"/>
            <w:shd w:fill="1F6A52" w:val="clear" w:color="auto"/>
            <w:tcMar>
              <w:top w:w="90" w:type="dxa"/>
              <w:start w:w="110" w:type="dxa"/>
              <w:bottom w:w="90" w:type="dxa"/>
              <w:end w:w="110" w:type="dxa"/>
            </w:tcMar>
            <w:vAlign w:val="center"/>
          </w:tcPr>
          <w:p>
            <w:pPr>
              <w:spacing w:before="0" w:after="0" w:line="252" w:lineRule="auto"/>
              <w:jc w:val="center"/>
            </w:pPr>
            <w:r>
              <w:rPr>
                <w:rFonts w:ascii="Arial" w:hAnsi="Arial"/>
                <w:b/>
                <w:color w:val="FFFFFF"/>
                <w:sz w:val="18"/>
              </w:rPr>
              <w:t>Champ</w:t>
            </w:r>
          </w:p>
        </w:tc>
        <w:tc>
          <w:tcPr>
            <w:tcW w:type="dxa" w:w="6520"/>
            <w:shd w:fill="1F6A52" w:val="clear" w:color="auto"/>
            <w:tcMar>
              <w:top w:w="90" w:type="dxa"/>
              <w:start w:w="110" w:type="dxa"/>
              <w:bottom w:w="90" w:type="dxa"/>
              <w:end w:w="110" w:type="dxa"/>
            </w:tcMar>
            <w:vAlign w:val="center"/>
          </w:tcPr>
          <w:p>
            <w:pPr>
              <w:spacing w:before="0" w:after="0" w:line="252" w:lineRule="auto"/>
              <w:jc w:val="center"/>
            </w:pPr>
            <w:r>
              <w:rPr>
                <w:rFonts w:ascii="Arial" w:hAnsi="Arial"/>
                <w:b/>
                <w:color w:val="FFFFFF"/>
                <w:sz w:val="18"/>
              </w:rPr>
              <w:t>Valeur</w:t>
            </w:r>
          </w:p>
        </w:tc>
      </w:tr>
      <w:tr>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b/>
                <w:color w:val="1F2933"/>
                <w:sz w:val="18"/>
              </w:rPr>
              <w:t>Organisation cible</w:t>
            </w:r>
          </w:p>
        </w:tc>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color w:val="1F2933"/>
                <w:sz w:val="18"/>
              </w:rPr>
              <w:t>Environnement Obeo multi-sites; Linux et open source dominants; adaptation locale nécessaire</w:t>
            </w:r>
          </w:p>
        </w:tc>
      </w:tr>
      <w:tr>
        <w:tc>
          <w:tcPr>
            <w:tcW w:type="dxa" w:w="4933"/>
            <w:tcMar>
              <w:top w:w="90" w:type="dxa"/>
              <w:start w:w="110" w:type="dxa"/>
              <w:bottom w:w="90" w:type="dxa"/>
              <w:end w:w="110" w:type="dxa"/>
            </w:tcMar>
            <w:vAlign w:val="center"/>
          </w:tcPr>
          <w:p>
            <w:pPr>
              <w:spacing w:before="0" w:after="0" w:line="252" w:lineRule="auto"/>
              <w:jc w:val="left"/>
            </w:pPr>
            <w:r>
              <w:rPr>
                <w:rFonts w:ascii="Arial" w:hAnsi="Arial"/>
                <w:color w:val="1F2933"/>
                <w:sz w:val="18"/>
              </w:rPr>
              <w:t>Auteur / public visé</w:t>
            </w:r>
          </w:p>
        </w:tc>
        <w:tc>
          <w:tcPr>
            <w:tcW w:type="dxa" w:w="4933"/>
            <w:tcMar>
              <w:top w:w="90" w:type="dxa"/>
              <w:start w:w="110" w:type="dxa"/>
              <w:bottom w:w="90" w:type="dxa"/>
              <w:end w:w="110" w:type="dxa"/>
            </w:tcMar>
            <w:vAlign w:val="center"/>
          </w:tcPr>
          <w:p>
            <w:pPr>
              <w:spacing w:before="0" w:after="0" w:line="252" w:lineRule="auto"/>
              <w:jc w:val="left"/>
            </w:pPr>
            <w:r>
              <w:rPr>
                <w:rFonts w:ascii="Arial" w:hAnsi="Arial"/>
                <w:color w:val="1F2933"/>
                <w:sz w:val="18"/>
              </w:rPr>
              <w:t>Baptiste Rouault; cybersécurité, administration Linux, SOC, exploitation, conformité</w:t>
            </w:r>
          </w:p>
        </w:tc>
      </w:tr>
      <w:tr>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b/>
                <w:color w:val="1F2933"/>
                <w:sz w:val="18"/>
              </w:rPr>
              <w:t>Version du document</w:t>
            </w:r>
          </w:p>
        </w:tc>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color w:val="1F2933"/>
                <w:sz w:val="18"/>
              </w:rPr>
              <w:t>1.1</w:t>
            </w:r>
          </w:p>
        </w:tc>
      </w:tr>
      <w:tr>
        <w:tc>
          <w:tcPr>
            <w:tcW w:type="dxa" w:w="4933"/>
            <w:tcMar>
              <w:top w:w="90" w:type="dxa"/>
              <w:start w:w="110" w:type="dxa"/>
              <w:bottom w:w="90" w:type="dxa"/>
              <w:end w:w="110" w:type="dxa"/>
            </w:tcMar>
            <w:vAlign w:val="center"/>
          </w:tcPr>
          <w:p>
            <w:pPr>
              <w:spacing w:before="0" w:after="0" w:line="252" w:lineRule="auto"/>
              <w:jc w:val="left"/>
            </w:pPr>
            <w:r>
              <w:rPr>
                <w:rFonts w:ascii="Arial" w:hAnsi="Arial"/>
                <w:b/>
                <w:color w:val="1F2933"/>
                <w:sz w:val="18"/>
              </w:rPr>
              <w:t>Date</w:t>
            </w:r>
          </w:p>
        </w:tc>
        <w:tc>
          <w:tcPr>
            <w:tcW w:type="dxa" w:w="4933"/>
            <w:tcMar>
              <w:top w:w="90" w:type="dxa"/>
              <w:start w:w="110" w:type="dxa"/>
              <w:bottom w:w="90" w:type="dxa"/>
              <w:end w:w="110" w:type="dxa"/>
            </w:tcMar>
            <w:vAlign w:val="center"/>
          </w:tcPr>
          <w:p>
            <w:pPr>
              <w:spacing w:before="0" w:after="0" w:line="252" w:lineRule="auto"/>
              <w:jc w:val="left"/>
            </w:pPr>
            <w:r>
              <w:rPr>
                <w:rFonts w:ascii="Arial" w:hAnsi="Arial"/>
                <w:color w:val="1F2933"/>
                <w:sz w:val="18"/>
              </w:rPr>
              <w:t>18 avril 2026</w:t>
            </w:r>
          </w:p>
        </w:tc>
      </w:tr>
      <w:tr>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b/>
                <w:color w:val="1F2933"/>
                <w:sz w:val="18"/>
              </w:rPr>
              <w:t>Base documentaire</w:t>
            </w:r>
          </w:p>
        </w:tc>
        <w:tc>
          <w:tcPr>
            <w:tcW w:type="dxa" w:w="4933"/>
            <w:tcMar>
              <w:top w:w="90" w:type="dxa"/>
              <w:start w:w="110" w:type="dxa"/>
              <w:bottom w:w="90" w:type="dxa"/>
              <w:end w:w="110" w:type="dxa"/>
            </w:tcMar>
            <w:vAlign w:val="center"/>
            <w:shd w:fill="F4F7F9"/>
          </w:tcPr>
          <w:p>
            <w:pPr>
              <w:spacing w:before="0" w:after="0" w:line="252" w:lineRule="auto"/>
              <w:jc w:val="left"/>
            </w:pPr>
            <w:r>
              <w:rPr>
                <w:rFonts w:ascii="Arial" w:hAnsi="Arial"/>
                <w:color w:val="1F2933"/>
                <w:sz w:val="18"/>
              </w:rPr>
              <w:t>Documentation Wazuh 4.14.x et OpenSearch Dashboards</w:t>
            </w:r>
          </w:p>
        </w:tc>
      </w:tr>
      <w:tr>
        <w:tc>
          <w:tcPr>
            <w:tcW w:type="dxa" w:w="4933"/>
            <w:tcMar>
              <w:top w:w="90" w:type="dxa"/>
              <w:start w:w="110" w:type="dxa"/>
              <w:bottom w:w="90" w:type="dxa"/>
              <w:end w:w="110" w:type="dxa"/>
            </w:tcMar>
            <w:vAlign w:val="center"/>
          </w:tcPr>
          <w:p>
            <w:pPr>
              <w:spacing w:before="0" w:after="0" w:line="252" w:lineRule="auto"/>
              <w:jc w:val="left"/>
            </w:pPr>
            <w:r>
              <w:rPr>
                <w:rFonts w:ascii="Arial" w:hAnsi="Arial"/>
                <w:b/>
                <w:color w:val="1F2933"/>
                <w:sz w:val="18"/>
              </w:rPr>
              <w:t>Statut</w:t>
            </w:r>
          </w:p>
        </w:tc>
        <w:tc>
          <w:tcPr>
            <w:tcW w:type="dxa" w:w="4933"/>
            <w:tcMar>
              <w:top w:w="90" w:type="dxa"/>
              <w:start w:w="110" w:type="dxa"/>
              <w:bottom w:w="90" w:type="dxa"/>
              <w:end w:w="110" w:type="dxa"/>
            </w:tcMar>
            <w:vAlign w:val="center"/>
          </w:tcPr>
          <w:p>
            <w:pPr>
              <w:spacing w:before="0" w:after="0" w:line="252" w:lineRule="auto"/>
              <w:jc w:val="left"/>
            </w:pPr>
            <w:r>
              <w:rPr>
                <w:rFonts w:ascii="Arial" w:hAnsi="Arial"/>
                <w:color w:val="1F2933"/>
                <w:sz w:val="18"/>
              </w:rPr>
              <w:t>Document de cadrage, configuration et mise en production</w:t>
            </w:r>
          </w:p>
        </w:tc>
      </w:tr>
    </w:tbl>
    <w:p/>
    <w:tbl>
      <w:tblPr>
        <w:tblW w:type="auto" w:w="0"/>
        <w:jc w:val="center"/>
        <w:tblLayout w:type="autofit"/>
        <w:tblLook w:firstColumn="1" w:firstRow="1" w:lastColumn="0" w:lastRow="0" w:noHBand="0" w:noVBand="1" w:val="04A0"/>
      </w:tblPr>
      <w:tblGrid>
        <w:gridCol w:w="9866"/>
      </w:tblGrid>
      <w:tr>
        <w:tc>
          <w:tcPr>
            <w:tcW w:type="dxa" w:w="9866"/>
            <w:shd w:fill="EAF5F0" w:val="clear" w:color="auto"/>
            <w:tcMar>
              <w:top w:w="110" w:type="dxa"/>
              <w:start w:w="120" w:type="dxa"/>
              <w:bottom w:w="110" w:type="dxa"/>
              <w:end w:w="120" w:type="dxa"/>
            </w:tcMar>
            <w:vAlign w:val="center"/>
          </w:tcPr>
          <w:p>
            <w:r/>
            <w:r>
              <w:rPr>
                <w:rFonts w:ascii="Arial" w:hAnsi="Arial"/>
                <w:b/>
                <w:color w:val="1F6A52"/>
                <w:sz w:val="20"/>
              </w:rPr>
              <w:t>Hypothèses de travail retenues</w:t>
            </w:r>
          </w:p>
          <w:p>
            <w:pPr>
              <w:spacing w:after="20"/>
            </w:pPr>
            <w:r>
              <w:rPr>
                <w:rFonts w:ascii="Arial" w:hAnsi="Arial"/>
                <w:color w:val="1F2933"/>
                <w:sz w:val="18"/>
              </w:rPr>
              <w:t>• Déploiement Wazuh auto-hébergé, pas Wazuh Cloud.</w:t>
            </w:r>
          </w:p>
          <w:p>
            <w:pPr>
              <w:spacing w:after="20"/>
            </w:pPr>
            <w:r>
              <w:rPr>
                <w:rFonts w:ascii="Arial" w:hAnsi="Arial"/>
                <w:color w:val="1F2933"/>
                <w:sz w:val="18"/>
              </w:rPr>
              <w:t>• Composants centraux Linux et communications chiffrées par certificats.</w:t>
            </w:r>
          </w:p>
          <w:p>
            <w:pPr>
              <w:spacing w:after="20"/>
            </w:pPr>
            <w:r>
              <w:rPr>
                <w:rFonts w:ascii="Arial" w:hAnsi="Arial"/>
                <w:color w:val="1F2933"/>
                <w:sz w:val="18"/>
              </w:rPr>
              <w:t>• Environnement Obeo multi-sites, avec forte présence Linux, open source et plusieurs populations métier.</w:t>
            </w:r>
          </w:p>
          <w:p>
            <w:pPr>
              <w:spacing w:after="20"/>
            </w:pPr>
            <w:r>
              <w:rPr>
                <w:rFonts w:ascii="Arial" w:hAnsi="Arial"/>
                <w:color w:val="1F2933"/>
                <w:sz w:val="18"/>
              </w:rPr>
              <w:t>• Découpage des agents par groupes et labels pour piloter la configuration à distance.</w:t>
            </w:r>
          </w:p>
          <w:p>
            <w:pPr>
              <w:spacing w:after="20"/>
            </w:pPr>
            <w:r>
              <w:rPr>
                <w:rFonts w:ascii="Arial" w:hAnsi="Arial"/>
                <w:color w:val="1F2933"/>
                <w:sz w:val="18"/>
              </w:rPr>
              <w:t>• Usage du dashboard Wazuh et des fonctions OpenSearch associées pour recherche, alerting, notifications et reporting.</w:t>
            </w:r>
          </w:p>
          <w:p>
            <w:pPr>
              <w:spacing w:after="20"/>
            </w:pPr>
            <w:r>
              <w:rPr>
                <w:rFonts w:ascii="Arial" w:hAnsi="Arial"/>
                <w:color w:val="1F2933"/>
                <w:sz w:val="18"/>
              </w:rPr>
              <w:t>• Objectif prioritaire: un socle fiable, exploitable et maintenable avant d'ajouter trop de complexité.</w:t>
            </w:r>
          </w:p>
        </w:tc>
      </w:tr>
    </w:tbl>
    <w:p/>
    <w:p>
      <w:r>
        <w:br w:type="page"/>
      </w:r>
    </w:p>
    <w:p>
      <w:pPr>
        <w:pStyle w:val="Heading1"/>
        <w:keepNext/>
        <w:spacing w:before="160" w:after="80" w:line="276" w:lineRule="auto"/>
      </w:pPr>
      <w:r>
        <w:t>Plan du document</w:t>
      </w:r>
    </w:p>
    <w:p>
      <w:pPr>
        <w:spacing w:before="0" w:after="80" w:line="276" w:lineRule="auto"/>
        <w:ind w:left="340" w:hanging="170"/>
      </w:pPr>
      <w:r>
        <w:t>• 1. Objectif, périmètre et principes d'implémentation</w:t>
      </w:r>
    </w:p>
    <w:p>
      <w:pPr>
        <w:spacing w:before="0" w:after="80" w:line="276" w:lineRule="auto"/>
        <w:ind w:left="340" w:hanging="170"/>
      </w:pPr>
      <w:r>
        <w:t>• 2. Architecture cible et choix de déploiement</w:t>
      </w:r>
    </w:p>
    <w:p>
      <w:pPr>
        <w:spacing w:before="0" w:after="80" w:line="276" w:lineRule="auto"/>
        <w:ind w:left="340" w:hanging="170"/>
      </w:pPr>
      <w:r>
        <w:t>• 3. Ordre de mise en œuvre recommandé</w:t>
      </w:r>
    </w:p>
    <w:p>
      <w:pPr>
        <w:spacing w:before="0" w:after="80" w:line="276" w:lineRule="auto"/>
        <w:ind w:left="340" w:hanging="170"/>
      </w:pPr>
      <w:r>
        <w:t>• 4. Prérequis de sécurité et gouvernance de la plateforme</w:t>
      </w:r>
    </w:p>
    <w:p>
      <w:pPr>
        <w:spacing w:before="0" w:after="80" w:line="276" w:lineRule="auto"/>
        <w:ind w:left="340" w:hanging="170"/>
      </w:pPr>
      <w:r>
        <w:t>• 5. Onboarding des agents et configuration centralisée</w:t>
      </w:r>
    </w:p>
    <w:p>
      <w:pPr>
        <w:spacing w:before="0" w:after="80" w:line="276" w:lineRule="auto"/>
        <w:ind w:left="340" w:hanging="170"/>
      </w:pPr>
      <w:r>
        <w:t>• 6. Socle technique: inventaire, vulnérabilités, SCA, FIM, logs, active response</w:t>
      </w:r>
    </w:p>
    <w:p>
      <w:pPr>
        <w:spacing w:before="0" w:after="80" w:line="276" w:lineRule="auto"/>
        <w:ind w:left="340" w:hanging="170"/>
      </w:pPr>
      <w:r>
        <w:t>• 7. Configuration du dashboard: Discover, visualisations, alertes, cartes, notifications et reporting</w:t>
      </w:r>
    </w:p>
    <w:p>
      <w:pPr>
        <w:spacing w:before="0" w:after="80" w:line="276" w:lineRule="auto"/>
        <w:ind w:left="340" w:hanging="170"/>
      </w:pPr>
      <w:r>
        <w:t>• 8. Mise en place des tableaux de conformité: PCI DSS, RGPD, HIPAA, NIST 800-53 et TSC</w:t>
      </w:r>
    </w:p>
    <w:p>
      <w:pPr>
        <w:spacing w:before="0" w:after="80" w:line="276" w:lineRule="auto"/>
        <w:ind w:left="340" w:hanging="170"/>
      </w:pPr>
      <w:r>
        <w:t>• 9. Intégrations sécurité: Docker, AWS, GCP, GitHub, Office 365 et Microsoft Graph</w:t>
      </w:r>
    </w:p>
    <w:p>
      <w:pPr>
        <w:spacing w:before="0" w:after="80" w:line="276" w:lineRule="auto"/>
        <w:ind w:left="340" w:hanging="170"/>
      </w:pPr>
      <w:r>
        <w:t>• 10. Amélioration des règles de détection et méthode de tuning</w:t>
      </w:r>
    </w:p>
    <w:p>
      <w:pPr>
        <w:spacing w:before="0" w:after="80" w:line="276" w:lineRule="auto"/>
        <w:ind w:left="340" w:hanging="170"/>
      </w:pPr>
      <w:r>
        <w:t>• 11. Stockage, rétention, performance et index lifecycle management</w:t>
      </w:r>
    </w:p>
    <w:p>
      <w:pPr>
        <w:spacing w:before="0" w:after="80" w:line="276" w:lineRule="auto"/>
        <w:ind w:left="340" w:hanging="170"/>
      </w:pPr>
      <w:r>
        <w:t>• 12. Runbooks, contrôles de qualité et checklist avant production</w:t>
      </w:r>
    </w:p>
    <w:p>
      <w:pPr>
        <w:spacing w:before="0" w:after="80" w:line="276" w:lineRule="auto"/>
        <w:ind w:left="340" w:hanging="170"/>
      </w:pPr>
      <w:r>
        <w:t>• 13. Annexes: snippets XML, commandes et sources officielles</w:t>
      </w:r>
    </w:p>
    <w:p>
      <w:pPr>
        <w:spacing w:before="0" w:after="80" w:line="276" w:lineRule="auto"/>
        <w:ind w:left="340" w:hanging="170"/>
      </w:pPr>
      <w:r>
        <w:rPr>
          <w:rFonts w:ascii="Arial" w:hAnsi="Arial"/>
          <w:sz w:val="20"/>
        </w:rPr>
        <w:t>• 14. Compléments opérationnels Obeo: groupes d'agents, faux positifs, KPI et exploitation</w:t>
      </w:r>
    </w:p>
    <w:tbl>
      <w:tblPr>
        <w:tblW w:type="auto" w:w="0"/>
        <w:jc w:val="center"/>
        <w:tblLayout w:type="autofit"/>
        <w:tblLook w:firstColumn="1" w:firstRow="1" w:lastColumn="0" w:lastRow="0" w:noHBand="0" w:noVBand="1" w:val="04A0"/>
      </w:tblPr>
      <w:tblGrid>
        <w:gridCol w:w="9866"/>
      </w:tblGrid>
      <w:tr>
        <w:tc>
          <w:tcPr>
            <w:tcW w:type="dxa" w:w="9866"/>
            <w:shd w:fill="FFF2CC" w:val="clear" w:color="auto"/>
            <w:tcMar>
              <w:top w:w="110" w:type="dxa"/>
              <w:start w:w="120" w:type="dxa"/>
              <w:bottom w:w="110" w:type="dxa"/>
              <w:end w:w="120" w:type="dxa"/>
            </w:tcMar>
            <w:vAlign w:val="center"/>
          </w:tcPr>
          <w:p>
            <w:pPr>
              <w:pStyle w:val="MiniHeading"/>
            </w:pPr>
            <w:r/>
            <w:r>
              <w:rPr>
                <w:rFonts w:ascii="Arial" w:hAnsi="Arial"/>
                <w:b/>
                <w:color w:val="1F6A52"/>
                <w:sz w:val="20"/>
              </w:rPr>
              <w:t>Lecture conseillée</w:t>
            </w:r>
          </w:p>
          <w:p>
            <w:pPr/>
            <w:r>
              <w:rPr>
                <w:rFonts w:ascii="Arial" w:hAnsi="Arial"/>
                <w:sz w:val="19"/>
              </w:rPr>
              <w:t>• Pour démarrer: lire d'abord les sections 2, 3, 5 et 6.</w:t>
            </w:r>
          </w:p>
          <w:p>
            <w:pPr/>
            <w:r>
              <w:rPr>
                <w:rFonts w:ascii="Arial" w:hAnsi="Arial"/>
                <w:sz w:val="19"/>
              </w:rPr>
              <w:t>• Pour construire le dashboard: poursuivre avec la section 7.</w:t>
            </w:r>
          </w:p>
          <w:p>
            <w:pPr/>
            <w:r>
              <w:rPr>
                <w:rFonts w:ascii="Arial" w:hAnsi="Arial"/>
                <w:sz w:val="19"/>
              </w:rPr>
              <w:t>• Pour réduire le bruit et augmenter la valeur détection: se concentrer sur les sections 9, 10 et 14.</w:t>
            </w:r>
          </w:p>
          <w:p>
            <w:pPr/>
            <w:r>
              <w:rPr>
                <w:rFonts w:ascii="Arial" w:hAnsi="Arial"/>
                <w:sz w:val="19"/>
              </w:rPr>
              <w:t>• Pour produire des preuves et préparer la production: exploiter surtout les sections 8, 11, 12 et 14.</w:t>
            </w:r>
          </w:p>
        </w:tc>
      </w:tr>
    </w:tbl>
    <w:p/>
    <w:p>
      <w:pPr>
        <w:pStyle w:val="Heading1"/>
        <w:keepNext/>
        <w:spacing w:before="160" w:after="80" w:line="276" w:lineRule="auto"/>
      </w:pPr>
      <w:r>
        <w:t>1. Objectif, périmètre et principes d'implémentation</w:t>
      </w:r>
    </w:p>
    <w:p>
      <w:pPr>
        <w:spacing w:before="0" w:after="120" w:line="276" w:lineRule="auto"/>
      </w:pPr>
      <w:r>
        <w:rPr>
          <w:rFonts w:ascii="Arial" w:hAnsi="Arial"/>
          <w:color w:val="1F2933"/>
          <w:sz w:val="20"/>
        </w:rPr>
        <w:t>Ce document vise à fournir à Obeo un rendu de niveau entreprise pour déployer, configurer et exploiter Wazuh proprement. Il ne remplace pas la documentation officielle ni les décisions d'architecture locales, mais il donne le cadre de travail, l'ordre des actions, les choix prioritaires, les pièges à éviter et des blocs de configuration directement réutilisables.</w:t>
      </w:r>
    </w:p>
    <w:p>
      <w:pPr>
        <w:spacing w:before="0" w:after="120" w:line="276" w:lineRule="auto"/>
      </w:pPr>
      <w:r>
        <w:rPr>
          <w:rFonts w:ascii="Arial" w:hAnsi="Arial"/>
          <w:color w:val="1F2933"/>
          <w:sz w:val="20"/>
        </w:rPr>
        <w:t>Le périmètre couvre les composants centraux Wazuh, le déploiement des agents, la configuration centralisée, la création des index et data views utiles, la structuration des dashboards, le paramétrage des alertes et notifications, la conformité, les intégrations cloud/SaaS et la méthode d'amélioration continue des règles de détection, avec un focus particulier sur les environnements Linux, open source, multi-sites et à profils métiers variés.</w:t>
      </w:r>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Principe directeur</w:t>
            </w:r>
          </w:p>
          <w:p>
            <w:pPr>
              <w:spacing w:before="0" w:after="80" w:line="276" w:lineRule="auto"/>
            </w:pPr>
            <w:r>
              <w:t>En entreprise, il faut éviter de 'tout activer' sans stratégie. Le bon ordre est: fiabiliser le socle, valider la qualité des données, structurer les groupes d'agents, construire les dashboards utiles, puis seulement affiner la détection et les réponses automatiques.</w:t>
            </w:r>
          </w:p>
        </w:tc>
      </w:tr>
    </w:tbl>
    <w:p/>
    <w:p>
      <w:pPr>
        <w:pStyle w:val="MiniHeading"/>
        <w:spacing w:before="0" w:after="80" w:line="276" w:lineRule="auto"/>
      </w:pPr>
      <w:r>
        <w:rPr>
          <w:rFonts w:ascii="Arial" w:hAnsi="Arial"/>
          <w:b/>
          <w:color w:val="1F6A52"/>
        </w:rPr>
        <w:t>Ce que doit produire le projet Wazuh</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38"/>
            <w:shd w:fill="1F6A52"/>
            <w:tcMar>
              <w:top w:w="100" w:type="dxa"/>
              <w:start w:w="100" w:type="dxa"/>
              <w:bottom w:w="100" w:type="dxa"/>
              <w:end w:w="100" w:type="dxa"/>
            </w:tcMar>
            <w:vAlign w:val="center"/>
          </w:tcPr>
          <w:p>
            <w:r>
              <w:rPr>
                <w:rFonts w:ascii="Arial" w:hAnsi="Arial"/>
                <w:b/>
                <w:color w:val="FFFFFF"/>
                <w:sz w:val="19"/>
              </w:rPr>
              <w:t>Livrable</w:t>
            </w:r>
          </w:p>
        </w:tc>
        <w:tc>
          <w:tcPr>
            <w:tcW w:type="dxa" w:w="6633"/>
            <w:shd w:fill="1F6A52"/>
            <w:tcMar>
              <w:top w:w="100" w:type="dxa"/>
              <w:start w:w="100" w:type="dxa"/>
              <w:bottom w:w="100" w:type="dxa"/>
              <w:end w:w="100" w:type="dxa"/>
            </w:tcMar>
            <w:vAlign w:val="center"/>
          </w:tcPr>
          <w:p>
            <w:r>
              <w:rPr>
                <w:rFonts w:ascii="Arial" w:hAnsi="Arial"/>
                <w:b/>
                <w:color w:val="FFFFFF"/>
                <w:sz w:val="19"/>
              </w:rPr>
              <w:t>Résultat attendu</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Plateforme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Composants Wazuh installés, sécurisés, supervisés et dimensionnés pour la charge réelle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Données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Inventaire, vulnérabilités, logs, conformité et événements cloud ingérés de manière stable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Dashboard</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Vues lisibles pour analystes, admins, responsables sécurité et conformité</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Détection</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Règles par défaut conservées, bruit réduit, règles locales documentées et testées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Exploitation</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Notifications, reporting, runbooks, rétention, validation des changements</w:t>
            </w:r>
          </w:p>
        </w:tc>
      </w:tr>
    </w:tbl>
    <w:p/>
    <w:p>
      <w:pPr>
        <w:pStyle w:val="Heading1"/>
        <w:keepNext/>
        <w:spacing w:before="160" w:after="80" w:line="276" w:lineRule="auto"/>
      </w:pPr>
      <w:r>
        <w:t>2. Architecture cible et choix de déploiement</w:t>
      </w:r>
    </w:p>
    <w:p>
      <w:pPr>
        <w:spacing w:before="0" w:after="120" w:line="276" w:lineRule="auto"/>
      </w:pPr>
      <w:r>
        <w:t>Wazuh repose sur un agent multi-plateforme et trois composants centraux: le Wazuh server, le Wazuh indexer et le Wazuh dashboard. Les agents collectent et transmettent les événements, le server les analyse, l'indexer les stocke et le dashboard sert à la visualisation, à la gestion et à l'analyse.</w:t>
      </w:r>
    </w:p>
    <w:p>
      <w:pPr>
        <w:spacing w:before="0" w:after="120" w:line="276" w:lineRule="auto"/>
      </w:pPr>
      <w:r>
        <w:rPr>
          <w:rFonts w:ascii="Arial" w:hAnsi="Arial"/>
          <w:color w:val="1F2933"/>
          <w:sz w:val="20"/>
        </w:rPr>
        <w:t>Pour un environnement entreprise, le mode all-in-one doit être considéré comme une solution de laboratoire ou de petite taille. Dès qu'une exploitation sérieuse, de la résilience ou de la montée en charge sont attendues, il faut séparer au minimum les rôles indexer, server et dashboard, puis ajouter du clustering si la volumétrie et la disponibilité le justifient.</w:t>
      </w:r>
    </w:p>
    <w:p>
      <w:pPr>
        <w:pStyle w:val="MiniHeading"/>
        <w:spacing w:before="0" w:after="80" w:line="276" w:lineRule="auto"/>
      </w:pPr>
      <w:r>
        <w:t>Composants et rôle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F6A52"/>
            <w:tcMar>
              <w:top w:w="100" w:type="dxa"/>
              <w:start w:w="100" w:type="dxa"/>
              <w:bottom w:w="100" w:type="dxa"/>
              <w:end w:w="100" w:type="dxa"/>
            </w:tcMar>
            <w:vAlign w:val="center"/>
          </w:tcPr>
          <w:p>
            <w:r>
              <w:rPr>
                <w:rFonts w:ascii="Arial" w:hAnsi="Arial"/>
                <w:b/>
                <w:color w:val="FFFFFF"/>
                <w:sz w:val="19"/>
              </w:rPr>
              <w:t>Composant</w:t>
            </w:r>
          </w:p>
        </w:tc>
        <w:tc>
          <w:tcPr>
            <w:tcW w:type="dxa" w:w="6803"/>
            <w:shd w:fill="1F6A52"/>
            <w:tcMar>
              <w:top w:w="100" w:type="dxa"/>
              <w:start w:w="100" w:type="dxa"/>
              <w:bottom w:w="100" w:type="dxa"/>
              <w:end w:w="100" w:type="dxa"/>
            </w:tcMar>
            <w:vAlign w:val="center"/>
          </w:tcPr>
          <w:p>
            <w:r>
              <w:rPr>
                <w:rFonts w:ascii="Arial" w:hAnsi="Arial"/>
                <w:b/>
                <w:color w:val="FFFFFF"/>
                <w:sz w:val="19"/>
              </w:rPr>
              <w:t>Rôle opérationnel</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Agents Wazuh</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Linux, Windows, macOS; collecte locale, FIM, SCA, inventaire, logs, Docker, etc.</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Wazuh server</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Analyse les événements, applique décodeurs/règles, gère les agents et les configs centralisées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 indexer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Indexe les alertes, archives, états et inventaires; moteur de recherche et analytics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Wazuh dashboard</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Recherche, visualisation, dashboarding, gestion, RBAC, SSO, dev tools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Sources agentless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Syslog / API / SSH / modules cloud quand l'agent n'est pas possible</w:t>
            </w:r>
          </w:p>
        </w:tc>
      </w:tr>
    </w:tbl>
    <w:p/>
    <w:tbl>
      <w:tblPr>
        <w:tblW w:type="auto" w:w="0"/>
        <w:jc w:val="center"/>
        <w:tblLayout w:type="autofit"/>
        <w:tblLook w:firstColumn="1" w:firstRow="1" w:lastColumn="0" w:lastRow="0" w:noHBand="0" w:noVBand="1" w:val="04A0"/>
      </w:tblPr>
      <w:tblGrid>
        <w:gridCol w:w="9866"/>
      </w:tblGrid>
      <w:tr>
        <w:tc>
          <w:tcPr>
            <w:tcW w:type="dxa" w:w="9866"/>
            <w:shd w:fill="F4F7F9"/>
            <w:tcMar>
              <w:top w:w="120" w:type="dxa"/>
              <w:start w:w="120" w:type="dxa"/>
              <w:bottom w:w="120" w:type="dxa"/>
              <w:end w:w="120" w:type="dxa"/>
            </w:tcMar>
            <w:vAlign w:val="center"/>
          </w:tcPr>
          <w:p>
            <w:pPr>
              <w:pStyle w:val="MiniHeading"/>
              <w:spacing w:before="0" w:after="80" w:line="276" w:lineRule="auto"/>
            </w:pPr>
            <w:r>
              <w:t>Architecture logique recommandée</w:t>
            </w:r>
          </w:p>
          <w:p>
            <w:pPr>
              <w:spacing w:before="0" w:after="80" w:line="276" w:lineRule="auto"/>
            </w:pPr>
            <w:r>
              <w:t>Endpoints / serveurs / conteneurs -&gt; Wazuh agents ou modules d'intégration -&gt; Wazuh server -&gt; Wazuh indexer -&gt; Wazuh dashboard -&gt; alerting / reporting / notification / investigation.</w:t>
            </w:r>
          </w:p>
        </w:tc>
      </w:tr>
    </w:tbl>
    <w:p/>
    <w:p>
      <w:pPr>
        <w:pStyle w:val="MiniHeading"/>
        <w:spacing w:before="0" w:after="80" w:line="276" w:lineRule="auto"/>
      </w:pPr>
      <w:r>
        <w:t>Repères de capacité documentaire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1F6A52"/>
            <w:tcMar>
              <w:top w:w="100" w:type="dxa"/>
              <w:start w:w="100" w:type="dxa"/>
              <w:bottom w:w="100" w:type="dxa"/>
              <w:end w:w="100" w:type="dxa"/>
            </w:tcMar>
            <w:vAlign w:val="center"/>
          </w:tcPr>
          <w:p>
            <w:r>
              <w:rPr>
                <w:rFonts w:ascii="Arial" w:hAnsi="Arial"/>
                <w:b/>
                <w:color w:val="FFFFFF"/>
                <w:sz w:val="19"/>
              </w:rPr>
              <w:t>Composant</w:t>
            </w:r>
          </w:p>
        </w:tc>
        <w:tc>
          <w:tcPr>
            <w:tcW w:type="dxa" w:w="2948"/>
            <w:shd w:fill="1F6A52"/>
            <w:tcMar>
              <w:top w:w="100" w:type="dxa"/>
              <w:start w:w="100" w:type="dxa"/>
              <w:bottom w:w="100" w:type="dxa"/>
              <w:end w:w="100" w:type="dxa"/>
            </w:tcMar>
            <w:vAlign w:val="center"/>
          </w:tcPr>
          <w:p>
            <w:r>
              <w:rPr>
                <w:rFonts w:ascii="Arial" w:hAnsi="Arial"/>
                <w:b/>
                <w:color w:val="FFFFFF"/>
                <w:sz w:val="19"/>
              </w:rPr>
              <w:t>Minimum</w:t>
            </w:r>
          </w:p>
        </w:tc>
        <w:tc>
          <w:tcPr>
            <w:tcW w:type="dxa" w:w="3742"/>
            <w:shd w:fill="1F6A52"/>
            <w:tcMar>
              <w:top w:w="100" w:type="dxa"/>
              <w:start w:w="100" w:type="dxa"/>
              <w:bottom w:w="100" w:type="dxa"/>
              <w:end w:w="100" w:type="dxa"/>
            </w:tcMar>
            <w:vAlign w:val="center"/>
          </w:tcPr>
          <w:p>
            <w:r>
              <w:rPr>
                <w:rFonts w:ascii="Arial" w:hAnsi="Arial"/>
                <w:b/>
                <w:color w:val="FFFFFF"/>
                <w:sz w:val="19"/>
              </w:rPr>
              <w:t>Recommandé</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 server</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2 Go RAM / 2 vCPU</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4 Go RAM / 8 vCPU</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Wazuh indexer (par nœud)</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4 Go RAM / 2 vCPU</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16 Go RAM / 8 vCPU</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 dashboard</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4 Go RAM / 2 vCPU</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8 Go RAM / 4 vCPU</w:t>
            </w:r>
          </w:p>
        </w:tc>
      </w:tr>
    </w:tbl>
    <w:p/>
    <w:p>
      <w:pPr>
        <w:pStyle w:val="MiniHeading"/>
        <w:spacing w:before="0" w:after="80" w:line="276" w:lineRule="auto"/>
      </w:pPr>
      <w:r>
        <w:t>Repères documentaires de stockage indexer sur 90 jours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948"/>
            <w:shd w:fill="1F6A52"/>
            <w:tcMar>
              <w:top w:w="100" w:type="dxa"/>
              <w:start w:w="100" w:type="dxa"/>
              <w:bottom w:w="100" w:type="dxa"/>
              <w:end w:w="100" w:type="dxa"/>
            </w:tcMar>
            <w:vAlign w:val="center"/>
          </w:tcPr>
          <w:p>
            <w:r>
              <w:rPr>
                <w:rFonts w:ascii="Arial" w:hAnsi="Arial"/>
                <w:b/>
                <w:color w:val="FFFFFF"/>
                <w:sz w:val="19"/>
              </w:rPr>
              <w:t>Type d'endpoint</w:t>
            </w:r>
          </w:p>
        </w:tc>
        <w:tc>
          <w:tcPr>
            <w:tcW w:type="dxa" w:w="1247"/>
            <w:shd w:fill="1F6A52"/>
            <w:tcMar>
              <w:top w:w="100" w:type="dxa"/>
              <w:start w:w="100" w:type="dxa"/>
              <w:bottom w:w="100" w:type="dxa"/>
              <w:end w:w="100" w:type="dxa"/>
            </w:tcMar>
            <w:vAlign w:val="center"/>
          </w:tcPr>
          <w:p>
            <w:r>
              <w:rPr>
                <w:rFonts w:ascii="Arial" w:hAnsi="Arial"/>
                <w:b/>
                <w:color w:val="FFFFFF"/>
                <w:sz w:val="19"/>
              </w:rPr>
              <w:t>APS</w:t>
            </w:r>
          </w:p>
        </w:tc>
        <w:tc>
          <w:tcPr>
            <w:tcW w:type="dxa" w:w="4876"/>
            <w:shd w:fill="1F6A52"/>
            <w:tcMar>
              <w:top w:w="100" w:type="dxa"/>
              <w:start w:w="100" w:type="dxa"/>
              <w:bottom w:w="100" w:type="dxa"/>
              <w:end w:w="100" w:type="dxa"/>
            </w:tcMar>
            <w:vAlign w:val="center"/>
          </w:tcPr>
          <w:p>
            <w:r>
              <w:rPr>
                <w:rFonts w:ascii="Arial" w:hAnsi="Arial"/>
                <w:b/>
                <w:color w:val="FFFFFF"/>
                <w:sz w:val="19"/>
              </w:rPr>
              <w:t>Stockage / endpoint</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Serveur</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0,25</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3,7 Go</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Poste de travail</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0,1</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1,5 Go</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Équipement réseau</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0,5</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7,4 Go</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Décision à prendre dès le départ</w:t>
            </w:r>
          </w:p>
          <w:p>
            <w:pPr>
              <w:spacing w:before="0" w:after="40" w:line="276" w:lineRule="auto"/>
              <w:ind w:left="170" w:hanging="113"/>
            </w:pPr>
            <w:r>
              <w:t>• Lab / POC: all-in-one possible.</w:t>
            </w:r>
          </w:p>
          <w:p>
            <w:pPr>
              <w:spacing w:before="0" w:after="40" w:line="276" w:lineRule="auto"/>
              <w:ind w:left="170" w:hanging="113"/>
            </w:pPr>
            <w:r>
              <w:t>• Prod PME/ETI: séparer au minimum server, indexer et dashboard si possible.</w:t>
            </w:r>
          </w:p>
          <w:p>
            <w:pPr>
              <w:spacing w:before="0" w:after="40" w:line="276" w:lineRule="auto"/>
              <w:ind w:left="170" w:hanging="113"/>
            </w:pPr>
            <w:r>
              <w:t>• Prod sensible / haute disponibilité: cluster server + cluster indexer + load balancer + règles de rétention explicites.</w:t>
            </w:r>
          </w:p>
        </w:tc>
      </w:tr>
    </w:tbl>
    <w:p/>
    <w:p>
      <w:pPr>
        <w:pStyle w:val="Heading1"/>
        <w:keepNext/>
        <w:spacing w:before="160" w:after="80" w:line="276" w:lineRule="auto"/>
      </w:pPr>
      <w:r>
        <w:t>3. Ordre de mise en œuvre recommandé</w:t>
      </w:r>
    </w:p>
    <w:p>
      <w:pPr>
        <w:spacing w:before="0" w:after="120" w:line="276" w:lineRule="auto"/>
      </w:pPr>
      <w:r>
        <w:t>Le succès de Wazuh ne vient pas du nombre de modules activés mais de la qualité d'implémentation. Le projet doit être mené par couches, avec un contrôle qualité entre chaque phase.</w:t>
      </w:r>
    </w:p>
    <w:p>
      <w:pPr>
        <w:pStyle w:val="MiniHeading"/>
        <w:spacing w:before="0" w:after="80" w:line="276" w:lineRule="auto"/>
      </w:pPr>
      <w:r>
        <w:t>Phasage cible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24"/>
            <w:shd w:fill="1F6A52"/>
            <w:tcMar>
              <w:top w:w="100" w:type="dxa"/>
              <w:start w:w="100" w:type="dxa"/>
              <w:bottom w:w="100" w:type="dxa"/>
              <w:end w:w="100" w:type="dxa"/>
            </w:tcMar>
            <w:vAlign w:val="center"/>
          </w:tcPr>
          <w:p>
            <w:r>
              <w:rPr>
                <w:rFonts w:ascii="Arial" w:hAnsi="Arial"/>
                <w:b/>
                <w:color w:val="FFFFFF"/>
                <w:sz w:val="19"/>
              </w:rPr>
              <w:t>Phase</w:t>
            </w:r>
          </w:p>
        </w:tc>
        <w:tc>
          <w:tcPr>
            <w:tcW w:type="dxa" w:w="6746"/>
            <w:shd w:fill="1F6A52"/>
            <w:tcMar>
              <w:top w:w="100" w:type="dxa"/>
              <w:start w:w="100" w:type="dxa"/>
              <w:bottom w:w="100" w:type="dxa"/>
              <w:end w:w="100" w:type="dxa"/>
            </w:tcMar>
            <w:vAlign w:val="center"/>
          </w:tcPr>
          <w:p>
            <w:r>
              <w:rPr>
                <w:rFonts w:ascii="Arial" w:hAnsi="Arial"/>
                <w:b/>
                <w:color w:val="FFFFFF"/>
                <w:sz w:val="19"/>
              </w:rPr>
              <w:t>Objectif</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Phase 0 - cadrage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Périmètre, architecture, volumétrie, sécurité réseau, certificats, comptes, stockage, rétention</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Phase 1 - socle plateforme</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Installation indexer/server/dashboard, TLS, accès admin, RBAC, sauvegardes, monitoring</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Phase 2 - agents et groupes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Enrôlement, groupes d'agents, config centralisée, inventaire, SCA, FIM, logs critiques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Phase 3 - exploitation dashboard</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Data views, Discover, dashboards métiers, reporting, monitors, notifications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Phase 4 - intégrations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Docker, AWS, GCP, GitHub, Office 365, Microsoft Graph</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Phase 5 - détection engineering</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Tuning du bruit, règles locales, décodeurs, tests, KPI SOC et runbooks</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Feuille de route 30 / 60 / 90 jours</w:t>
            </w:r>
          </w:p>
          <w:p>
            <w:pPr>
              <w:spacing w:before="0" w:after="40" w:line="276" w:lineRule="auto"/>
              <w:ind w:left="170" w:hanging="113"/>
            </w:pPr>
            <w:r>
              <w:t>• J+30: plateforme stable, agents prioritaires actifs, inventaire et vulnérabilités visibles, dashboards de base disponibles.</w:t>
            </w:r>
          </w:p>
          <w:p>
            <w:pPr>
              <w:spacing w:before="0" w:after="40" w:line="276" w:lineRule="auto"/>
              <w:ind w:left="170" w:hanging="113"/>
            </w:pPr>
            <w:r>
              <w:t>• J+60: intégrations cloud/SaaS en place, dashboards conformité utilisables, alertes et notifications cadrées.</w:t>
            </w:r>
          </w:p>
          <w:p>
            <w:pPr>
              <w:spacing w:before="0" w:after="40" w:line="276" w:lineRule="auto"/>
              <w:ind w:left="170" w:hanging="113"/>
            </w:pPr>
            <w:r>
              <w:t>• J+90: bruit réduit, règles locales maîtrisées, reporting périodique opérationnel, checklist de production validée.</w:t>
            </w:r>
          </w:p>
        </w:tc>
      </w:tr>
    </w:tbl>
    <w:p/>
    <w:p>
      <w:pPr>
        <w:pStyle w:val="Heading1"/>
        <w:keepNext/>
        <w:spacing w:before="160" w:after="80" w:line="276" w:lineRule="auto"/>
      </w:pPr>
      <w:r>
        <w:t>4. Prérequis de sécurité et gouvernance de la plateforme</w:t>
      </w:r>
    </w:p>
    <w:p>
      <w:pPr>
        <w:spacing w:before="0" w:after="120" w:line="276" w:lineRule="auto"/>
      </w:pPr>
      <w:r>
        <w:t>Avant d'ouvrir la plateforme aux équipes, il faut sécuriser l'accès, cadrer les rôles et verrouiller les choix d'administration. Le dashboard Wazuh permet de gérer les données, les agents et les règles; il doit donc être traité comme un composant sensible.</w:t>
      </w:r>
    </w:p>
    <w:p>
      <w:pPr>
        <w:spacing w:before="0" w:after="80" w:line="276" w:lineRule="auto"/>
        <w:ind w:left="340" w:hanging="170"/>
      </w:pPr>
      <w:r>
        <w:t>• Activer et gérer proprement les certificats TLS entre composants centraux.</w:t>
      </w:r>
    </w:p>
    <w:p>
      <w:pPr>
        <w:spacing w:before="0" w:after="80" w:line="276" w:lineRule="auto"/>
        <w:ind w:left="340" w:hanging="170"/>
      </w:pPr>
      <w:r>
        <w:t>• Créer des comptes administrateurs nominaux et éviter l'usage d'un compte partagé.</w:t>
      </w:r>
    </w:p>
    <w:p>
      <w:pPr>
        <w:spacing w:before="0" w:after="80" w:line="276" w:lineRule="auto"/>
        <w:ind w:left="340" w:hanging="170"/>
      </w:pPr>
      <w:r>
        <w:t>• Mettre en place RBAC selon le principe du moindre privilège: administrateur, analyste SOC, lecteur conformité, exploitation système.</w:t>
      </w:r>
    </w:p>
    <w:p>
      <w:pPr>
        <w:spacing w:before="0" w:after="80" w:line="276" w:lineRule="auto"/>
        <w:ind w:left="340" w:hanging="170"/>
      </w:pPr>
      <w:r>
        <w:t>• Prévoir le SSO si l'entreprise dispose d'un fournisseur d'identité SAML; sinon utiliser la base interne Wazuh avec discipline d'hygiène des comptes.</w:t>
      </w:r>
    </w:p>
    <w:p>
      <w:pPr>
        <w:spacing w:before="0" w:after="80" w:line="276" w:lineRule="auto"/>
        <w:ind w:left="340" w:hanging="170"/>
      </w:pPr>
      <w:r>
        <w:t>• Structurer les tenants du dashboard si plusieurs équipes ou périmètres doivent coexister sans se gêner.</w:t>
      </w:r>
    </w:p>
    <w:p>
      <w:pPr>
        <w:pStyle w:val="MiniHeading"/>
        <w:spacing w:before="0" w:after="80" w:line="276" w:lineRule="auto"/>
      </w:pPr>
      <w:r>
        <w:t>Exemple simple de rôles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F6A52"/>
            <w:tcMar>
              <w:top w:w="100" w:type="dxa"/>
              <w:start w:w="100" w:type="dxa"/>
              <w:bottom w:w="100" w:type="dxa"/>
              <w:end w:w="100" w:type="dxa"/>
            </w:tcMar>
            <w:vAlign w:val="center"/>
          </w:tcPr>
          <w:p>
            <w:r>
              <w:rPr>
                <w:rFonts w:ascii="Arial" w:hAnsi="Arial"/>
                <w:b/>
                <w:color w:val="FFFFFF"/>
                <w:sz w:val="19"/>
              </w:rPr>
              <w:t>Rôle</w:t>
            </w:r>
          </w:p>
        </w:tc>
        <w:tc>
          <w:tcPr>
            <w:tcW w:type="dxa" w:w="6803"/>
            <w:shd w:fill="1F6A52"/>
            <w:tcMar>
              <w:top w:w="100" w:type="dxa"/>
              <w:start w:w="100" w:type="dxa"/>
              <w:bottom w:w="100" w:type="dxa"/>
              <w:end w:w="100" w:type="dxa"/>
            </w:tcMar>
            <w:vAlign w:val="center"/>
          </w:tcPr>
          <w:p>
            <w:r>
              <w:rPr>
                <w:rFonts w:ascii="Arial" w:hAnsi="Arial"/>
                <w:b/>
                <w:color w:val="FFFFFF"/>
                <w:sz w:val="19"/>
              </w:rPr>
              <w:t>Droits principaux</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Admin sécurité</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Plateforme, règles, décoders, intégrations, index management, users/roles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Analyste SOC</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Discover, dashboards, alerting, investigation, lecture inventaire et vulnérabilités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Conformité / audit</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Lecture dashboards conformité, reporting, export, pas d'édition des règles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Ops / système</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Lecture ciblée sur inventaire, agents, groupes et santé de la plateforme</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Bonnes pratiques de gouvernance</w:t>
            </w:r>
          </w:p>
          <w:p>
            <w:pPr>
              <w:spacing w:before="0" w:after="40" w:line="276" w:lineRule="auto"/>
              <w:ind w:left="170" w:hanging="113"/>
            </w:pPr>
            <w:r>
              <w:t>• Un environnement de test est indispensable pour valider toute modification de règle, de décodeur ou d'active response.</w:t>
            </w:r>
          </w:p>
          <w:p>
            <w:pPr>
              <w:spacing w:before="0" w:after="40" w:line="276" w:lineRule="auto"/>
              <w:ind w:left="170" w:hanging="113"/>
            </w:pPr>
            <w:r>
              <w:t>• Toute règle locale doit avoir un propriétaire, une justification métier, une date et une méthode de test.</w:t>
            </w:r>
          </w:p>
          <w:p>
            <w:pPr>
              <w:spacing w:before="0" w:after="40" w:line="276" w:lineRule="auto"/>
              <w:ind w:left="170" w:hanging="113"/>
            </w:pPr>
            <w:r>
              <w:t>• Ne jamais modifier directement les fichiers de règles par défaut du produit.</w:t>
            </w:r>
          </w:p>
          <w:p>
            <w:pPr>
              <w:spacing w:before="0" w:after="40" w:line="276" w:lineRule="auto"/>
              <w:ind w:left="170" w:hanging="113"/>
            </w:pPr>
            <w:r>
              <w:t>• Documenter les secrets d'intégration hors du document partagé; stocker de préférence dans un coffre-fort ou un gestionnaire de secrets.</w:t>
            </w:r>
          </w:p>
        </w:tc>
      </w:tr>
    </w:tbl>
    <w:p/>
    <w:p>
      <w:pPr>
        <w:pStyle w:val="Heading1"/>
        <w:keepNext/>
        <w:spacing w:before="160" w:after="80" w:line="276" w:lineRule="auto"/>
      </w:pPr>
      <w:r>
        <w:t>5. Onboarding des agents et configuration centralisée</w:t>
      </w:r>
    </w:p>
    <w:p>
      <w:pPr>
        <w:spacing w:before="0" w:after="120" w:line="276" w:lineRule="auto"/>
      </w:pPr>
      <w:r>
        <w:t>En entreprise, la clé de la maintenabilité est la configuration centralisée. Wazuh permet d'utiliser le fichier agent.conf et des groupes d'agents afin d'appliquer des configurations cohérentes par profil technique ou par criticité.</w:t>
      </w:r>
    </w:p>
    <w:p>
      <w:pPr>
        <w:spacing w:before="0" w:after="120" w:line="276" w:lineRule="auto"/>
      </w:pPr>
      <w:r>
        <w:t>Le plus propre consiste à créer des groupes d'agents significatifs, puis à diffuser la configuration depuis le manager. Cette méthode t'évite des écarts de configuration machine par machine et accélère les déploiements, les changements et les audits.</w:t>
      </w:r>
    </w:p>
    <w:p>
      <w:pPr>
        <w:pStyle w:val="MiniHeading"/>
        <w:spacing w:before="0" w:after="80" w:line="276" w:lineRule="auto"/>
      </w:pPr>
      <w:r>
        <w:t>Proposition de groupes d'agents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F6A52"/>
            <w:tcMar>
              <w:top w:w="100" w:type="dxa"/>
              <w:start w:w="100" w:type="dxa"/>
              <w:bottom w:w="100" w:type="dxa"/>
              <w:end w:w="100" w:type="dxa"/>
            </w:tcMar>
            <w:vAlign w:val="center"/>
          </w:tcPr>
          <w:p>
            <w:r>
              <w:rPr>
                <w:rFonts w:ascii="Arial" w:hAnsi="Arial"/>
                <w:b/>
                <w:color w:val="FFFFFF"/>
                <w:sz w:val="19"/>
              </w:rPr>
              <w:t>Groupe</w:t>
            </w:r>
          </w:p>
        </w:tc>
        <w:tc>
          <w:tcPr>
            <w:tcW w:type="dxa" w:w="6690"/>
            <w:shd w:fill="1F6A52"/>
            <w:tcMar>
              <w:top w:w="100" w:type="dxa"/>
              <w:start w:w="100" w:type="dxa"/>
              <w:bottom w:w="100" w:type="dxa"/>
              <w:end w:w="100" w:type="dxa"/>
            </w:tcMar>
            <w:vAlign w:val="center"/>
          </w:tcPr>
          <w:p>
            <w:r>
              <w:rPr>
                <w:rFonts w:ascii="Arial" w:hAnsi="Arial"/>
                <w:b/>
                <w:color w:val="FFFFFF"/>
                <w:sz w:val="19"/>
              </w:rPr>
              <w:t>But</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default</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Socle minimal pour tous les agents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linux-servers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Syscheck renforcé, journald, SCA Linux, vulnérabilités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windows-servers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Event channels, SCA Windows, services, comptes, KB</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workstations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Inventaire, vulnérabilités, antivirus, logs poste, bruit maîtrisé</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domain-controllers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Sécurité renforcée, événements AD, seuils plus stricts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docker-hosts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Docker listener + FIM ciblé + logs conteneurs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devops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GitHub, artefacts, outils CI/CD, packages sensibles</w:t>
            </w:r>
          </w:p>
        </w:tc>
      </w:tr>
    </w:tbl>
    <w:p/>
    <w:p>
      <w:pPr>
        <w:spacing w:before="0" w:after="120" w:line="276" w:lineRule="auto"/>
      </w:pPr>
      <w:r>
        <w:t>Le fichier agent.conf doit être préparé dans le dossier du groupe, validé avant activation, puis distribué. La méthode la plus propre consiste à éditer un fichier temporaire, le valider avec verify-agent-conf, puis le renommer une fois la syntaxe confirmée.</w:t>
      </w:r>
    </w:p>
    <w:p>
      <w:pPr>
        <w:pStyle w:val="MiniHeading"/>
        <w:spacing w:before="0" w:after="60" w:line="276" w:lineRule="auto"/>
      </w:pPr>
      <w:r>
        <w:t>Validation d'un agent.conf</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 Exemple de cycle propre pour la configuration centralisée</w:t>
              <w:br/>
              <w:t>touch /var/ossec/etc/shared/default/agent.conf.tmp</w:t>
              <w:br/>
              <w:t>chown wazuh:wazuh /var/ossec/etc/shared/default/agent.conf.tmp</w:t>
              <w:br/>
              <w:t>chmod 660 /var/ossec/etc/shared/default/agent.conf.tmp</w:t>
              <w:br/>
              <w:t>/var/ossec/bin/verify-agent-conf -f /var/ossec/etc/shared/default/agent.conf.tmp</w:t>
              <w:br/>
              <w:t>mv /var/ossec/etc/shared/default/agent.conf.tmp /var/ossec/etc/shared/default/agent.conf</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À retenir</w:t>
            </w:r>
          </w:p>
          <w:p>
            <w:pPr>
              <w:spacing w:before="0" w:after="40" w:line="276" w:lineRule="auto"/>
              <w:ind w:left="170" w:hanging="113"/>
            </w:pPr>
            <w:r>
              <w:t>• Le groupe default existe déjà: sers-t'en pour le socle commun, pas pour toute la logique métier.</w:t>
            </w:r>
          </w:p>
          <w:p>
            <w:pPr>
              <w:spacing w:before="0" w:after="40" w:line="276" w:lineRule="auto"/>
              <w:ind w:left="170" w:hanging="113"/>
            </w:pPr>
            <w:r>
              <w:t>• En cas d'appartenance à plusieurs groupes, le groupe assigné en dernier a la priorité.</w:t>
            </w:r>
          </w:p>
          <w:p>
            <w:pPr>
              <w:spacing w:before="0" w:after="40" w:line="276" w:lineRule="auto"/>
              <w:ind w:left="170" w:hanging="113"/>
            </w:pPr>
            <w:r>
              <w:t>• Les agents rechargent automatiquement leur configuration centralisée; la logique de hot reload réduit la nécessité de redémarrer côté agent.</w:t>
            </w:r>
          </w:p>
        </w:tc>
      </w:tr>
    </w:tbl>
    <w:p/>
    <w:p>
      <w:pPr>
        <w:spacing w:before="0" w:after="120" w:line="276" w:lineRule="auto"/>
      </w:pPr>
      <w:r>
        <w:t>Sur Linux, l'anti-tampering est utile pour empêcher la désinstallation non autorisée de l'agent. Sur les périmètres sensibles, il vaut mieux l'activer au moins pour les serveurs critiques.</w:t>
      </w:r>
    </w:p>
    <w:p>
      <w:pPr>
        <w:pStyle w:val="MiniHeading"/>
        <w:spacing w:before="0" w:after="60" w:line="276" w:lineRule="auto"/>
      </w:pPr>
      <w:r>
        <w:t>Exemple: anti-tampering centralisé</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&lt;agent_config os="linux"&gt;</w:t>
              <w:br/>
              <w:t xml:space="preserve">  &lt;anti_tampering&gt;</w:t>
              <w:br/>
              <w:t xml:space="preserve">    &lt;package_uninstallation&gt;yes&lt;/package_uninstallation&gt;</w:t>
              <w:br/>
              <w:t xml:space="preserve">  &lt;/anti_tampering&gt;</w:t>
              <w:br/>
              <w:t>&lt;/agent_config&gt;</w:t>
            </w:r>
          </w:p>
        </w:tc>
      </w:tr>
    </w:tbl>
    <w:p/>
    <w:p>
      <w:pPr>
        <w:pStyle w:val="Heading1"/>
        <w:keepNext/>
        <w:spacing w:before="160" w:after="80" w:line="276" w:lineRule="auto"/>
      </w:pPr>
      <w:r>
        <w:t>6. Socle technique: inventaire, vulnérabilités, SCA, FIM, logs et active response</w:t>
      </w:r>
    </w:p>
    <w:p>
      <w:pPr>
        <w:spacing w:before="0" w:after="120" w:line="276" w:lineRule="auto"/>
      </w:pPr>
      <w:r>
        <w:t>Avant de construire des dashboards complexes, il faut un socle de données solide. Les modules les plus utiles en première intention sont: Syscollector pour l'inventaire et l'hygiène IT, Vulnerability Detection pour les CVE, SCA pour l'évaluation de configuration, Syscheck pour la FIM, la collecte de logs adaptée au contexte et une active response très contrôlée.</w:t>
      </w:r>
    </w:p>
    <w:p>
      <w:pPr>
        <w:pStyle w:val="MiniHeading"/>
        <w:spacing w:before="0" w:after="80" w:line="276" w:lineRule="auto"/>
      </w:pPr>
      <w:r>
        <w:t>Ordre de priorité technique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24"/>
            <w:shd w:fill="1F6A52"/>
            <w:tcMar>
              <w:top w:w="100" w:type="dxa"/>
              <w:start w:w="100" w:type="dxa"/>
              <w:bottom w:w="100" w:type="dxa"/>
              <w:end w:w="100" w:type="dxa"/>
            </w:tcMar>
            <w:vAlign w:val="center"/>
          </w:tcPr>
          <w:p>
            <w:r>
              <w:rPr>
                <w:rFonts w:ascii="Arial" w:hAnsi="Arial"/>
                <w:b/>
                <w:color w:val="FFFFFF"/>
                <w:sz w:val="19"/>
              </w:rPr>
              <w:t>Module</w:t>
            </w:r>
          </w:p>
        </w:tc>
        <w:tc>
          <w:tcPr>
            <w:tcW w:type="dxa" w:w="6746"/>
            <w:shd w:fill="1F6A52"/>
            <w:tcMar>
              <w:top w:w="100" w:type="dxa"/>
              <w:start w:w="100" w:type="dxa"/>
              <w:bottom w:w="100" w:type="dxa"/>
              <w:end w:w="100" w:type="dxa"/>
            </w:tcMar>
            <w:vAlign w:val="center"/>
          </w:tcPr>
          <w:p>
            <w:r>
              <w:rPr>
                <w:rFonts w:ascii="Arial" w:hAnsi="Arial"/>
                <w:b/>
                <w:color w:val="FFFFFF"/>
                <w:sz w:val="19"/>
              </w:rPr>
              <w:t>Décision recommandée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Syscollector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Activer partout avec un périmètre adapté; indispensable pour IT Hygiene et vulnérabilités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Vulnerability Detection</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Activer côté manager et vérifier l'indexation des états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SCA</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Activer par groupes et exploiter les benchmarks pertinents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Syscheck / FIM</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Cibler les chemins sensibles et activer whodata quand c'est justifié</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Collecte de logs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Cibler les logs à valeur sécurité; éviter la collecte massive sans usage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Active Response</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Démarrer avec des actions limitées, temporisées et documentées</w:t>
            </w:r>
          </w:p>
        </w:tc>
      </w:tr>
    </w:tbl>
    <w:p/>
    <w:p>
      <w:pPr>
        <w:pStyle w:val="Heading2"/>
        <w:keepNext/>
        <w:spacing w:before="80" w:after="80" w:line="276" w:lineRule="auto"/>
      </w:pPr>
      <w:r>
        <w:t>6.1 Syscollector et IT Hygiene</w:t>
      </w:r>
    </w:p>
    <w:p>
      <w:pPr>
        <w:spacing w:before="0" w:after="120" w:line="276" w:lineRule="auto"/>
      </w:pPr>
      <w:r>
        <w:t>L'inventaire système est central pour l'hygiène IT. Il alimente les vues System, Software, Processes, Network, Identity et Services du dashboard. Dans Wazuh 4.14.x, l'inventaire couvre aussi les utilisateurs, groupes, services et extensions de navigateur, ce qui est particulièrement utile pour la visibilité et la conformité.</w:t>
      </w:r>
    </w:p>
    <w:p>
      <w:pPr>
        <w:pStyle w:val="MiniHeading"/>
        <w:spacing w:before="0" w:after="60" w:line="276" w:lineRule="auto"/>
      </w:pPr>
      <w:r>
        <w:t>Bloc de base Syscollector</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&lt;wodle name="syscollector"&gt;</w:t>
              <w:br/>
              <w:t xml:space="preserve">  &lt;disabled&gt;no&lt;/disabled&gt;</w:t>
              <w:br/>
              <w:t xml:space="preserve">  &lt;interval&gt;1h&lt;/interval&gt;</w:t>
              <w:br/>
              <w:t xml:space="preserve">  &lt;scan_on_start&gt;yes&lt;/scan_on_start&gt;</w:t>
              <w:br/>
              <w:t xml:space="preserve">  &lt;hardware&gt;yes&lt;/hardware&gt;</w:t>
              <w:br/>
              <w:t xml:space="preserve">  &lt;os&gt;yes&lt;/os&gt;</w:t>
              <w:br/>
              <w:t xml:space="preserve">  &lt;network&gt;yes&lt;/network&gt;</w:t>
              <w:br/>
              <w:t xml:space="preserve">  &lt;packages&gt;yes&lt;/packages&gt;</w:t>
              <w:br/>
              <w:t xml:space="preserve">  &lt;ports all="no"&gt;yes&lt;/ports&gt;</w:t>
              <w:br/>
              <w:t xml:space="preserve">  &lt;processes&gt;yes&lt;/processes&gt;</w:t>
              <w:br/>
              <w:t xml:space="preserve">  &lt;users&gt;yes&lt;/users&gt;</w:t>
              <w:br/>
              <w:t xml:space="preserve">  &lt;groups&gt;yes&lt;/groups&gt;</w:t>
              <w:br/>
              <w:t xml:space="preserve">  &lt;services&gt;yes&lt;/services&gt;</w:t>
              <w:br/>
              <w:t xml:space="preserve">  &lt;browser_extensions&gt;yes&lt;/browser_extensions&gt;</w:t>
              <w:br/>
              <w:t xml:space="preserve">  &lt;synchronization&gt;</w:t>
              <w:br/>
              <w:t xml:space="preserve">    &lt;max_eps&gt;10&lt;/max_eps&gt;</w:t>
              <w:br/>
              <w:t xml:space="preserve">  &lt;/synchronization&gt;</w:t>
              <w:br/>
              <w:t>&lt;/wodle&gt;</w:t>
            </w:r>
          </w:p>
        </w:tc>
      </w:tr>
    </w:tbl>
    <w:p/>
    <w:tbl>
      <w:tblPr>
        <w:tblW w:type="auto" w:w="0"/>
        <w:jc w:val="center"/>
        <w:tblLayout w:type="autofit"/>
        <w:tblLook w:firstColumn="1" w:firstRow="1" w:lastColumn="0" w:lastRow="0" w:noHBand="0" w:noVBand="1" w:val="04A0"/>
      </w:tblPr>
      <w:tblGrid>
        <w:gridCol w:w="9866"/>
      </w:tblGrid>
      <w:tr>
        <w:tc>
          <w:tcPr>
            <w:tcW w:type="dxa" w:w="9866"/>
            <w:shd w:fill="F4F7F9"/>
            <w:tcMar>
              <w:top w:w="120" w:type="dxa"/>
              <w:start w:w="120" w:type="dxa"/>
              <w:bottom w:w="120" w:type="dxa"/>
              <w:end w:w="120" w:type="dxa"/>
            </w:tcMar>
            <w:vAlign w:val="center"/>
          </w:tcPr>
          <w:p>
            <w:pPr>
              <w:pStyle w:val="MiniHeading"/>
              <w:spacing w:before="0" w:after="80" w:line="276" w:lineRule="auto"/>
            </w:pPr>
            <w:r>
              <w:t>Conseil pratique</w:t>
            </w:r>
          </w:p>
          <w:p>
            <w:pPr>
              <w:spacing w:before="0" w:after="80" w:line="276" w:lineRule="auto"/>
            </w:pPr>
            <w:r>
              <w:t>N'active pas les ports 'all=yes' partout sans nécessité. Sur les postes et petits serveurs, la valeur par défaut est souvent suffisante; réserve les collectes plus larges aux groupes à forte valeur de diagnostic.</w:t>
            </w:r>
          </w:p>
        </w:tc>
      </w:tr>
    </w:tbl>
    <w:p/>
    <w:p>
      <w:pPr>
        <w:pStyle w:val="Heading2"/>
        <w:keepNext/>
        <w:spacing w:before="80" w:after="80" w:line="276" w:lineRule="auto"/>
      </w:pPr>
      <w:r>
        <w:t>6.2 Vulnerability Detection</w:t>
      </w:r>
    </w:p>
    <w:p>
      <w:pPr>
        <w:spacing w:before="0" w:after="120" w:line="276" w:lineRule="auto"/>
      </w:pPr>
      <w:r>
        <w:t>La détection de vulnérabilités s'appuie sur l'inventaire logiciel des agents et sur la CTI de Wazuh ou une source hors ligne. Le module est activé par défaut sur le manager; il faut néanmoins vérifier l'indexation, la connectivité et la visibilité des résultats dans le dashboard.</w:t>
      </w:r>
    </w:p>
    <w:p>
      <w:pPr>
        <w:pStyle w:val="MiniHeading"/>
        <w:spacing w:before="0" w:after="60" w:line="276" w:lineRule="auto"/>
      </w:pPr>
      <w:r>
        <w:t>Bloc de base Vulnerability Detection</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&lt;vulnerability-detection&gt;</w:t>
              <w:br/>
              <w:t xml:space="preserve">  &lt;enabled&gt;yes&lt;/enabled&gt;</w:t>
              <w:br/>
              <w:t xml:space="preserve">  &lt;index-status&gt;yes&lt;/index-status&gt;</w:t>
              <w:br/>
              <w:t xml:space="preserve">  &lt;feed-update-interval&gt;60m&lt;/feed-update-interval&gt;</w:t>
              <w:br/>
              <w:t>&lt;/vulnerability-detection&gt;</w:t>
            </w:r>
          </w:p>
        </w:tc>
      </w:tr>
    </w:tbl>
    <w:p/>
    <w:p>
      <w:pPr>
        <w:pStyle w:val="Heading2"/>
        <w:keepNext/>
        <w:spacing w:before="80" w:after="80" w:line="276" w:lineRule="auto"/>
      </w:pPr>
      <w:r>
        <w:t>6.3 Security Configuration Assessment (SCA)</w:t>
      </w:r>
    </w:p>
    <w:p>
      <w:pPr>
        <w:spacing w:before="0" w:after="120" w:line="276" w:lineRule="auto"/>
      </w:pPr>
      <w:r>
        <w:t>Le module SCA sert à mesurer l'état de durcissement et de conformité technique des endpoints. Il est particulièrement utile pour alimenter les tableaux PCI DSS, NIST, HIPAA, TSC et les campagnes de hardening. Le plus propre est de le piloter par groupes d'agents et par politique utile, sans lancer des scans trop fréquents sur des environnements peu changeants.</w:t>
      </w:r>
    </w:p>
    <w:p>
      <w:pPr>
        <w:pStyle w:val="MiniHeading"/>
        <w:spacing w:before="0" w:after="60" w:line="276" w:lineRule="auto"/>
      </w:pPr>
      <w:r>
        <w:t>Exemple simple SCA</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&lt;sca&gt;</w:t>
              <w:br/>
              <w:t xml:space="preserve">  &lt;enabled&gt;yes&lt;/enabled&gt;</w:t>
              <w:br/>
              <w:t xml:space="preserve">  &lt;scan_on_start&gt;yes&lt;/scan_on_start&gt;</w:t>
              <w:br/>
              <w:t xml:space="preserve">  &lt;interval&gt;12h&lt;/interval&gt;</w:t>
              <w:br/>
              <w:t xml:space="preserve">  &lt;skip_nfs&gt;yes&lt;/skip_nfs&gt;</w:t>
              <w:br/>
              <w:t>&lt;/sca&gt;</w:t>
            </w:r>
          </w:p>
        </w:tc>
      </w:tr>
    </w:tbl>
    <w:p/>
    <w:p>
      <w:pPr>
        <w:pStyle w:val="Heading2"/>
        <w:keepNext/>
        <w:spacing w:before="80" w:after="80" w:line="276" w:lineRule="auto"/>
      </w:pPr>
      <w:r>
        <w:t>6.4 File Integrity Monitoring (FIM / Syscheck)</w:t>
      </w:r>
    </w:p>
    <w:p>
      <w:pPr>
        <w:spacing w:before="0" w:after="120" w:line="276" w:lineRule="auto"/>
      </w:pPr>
      <w:r>
        <w:t>La FIM ne doit pas être pensée comme une surveillance 'de tout le disque'. En entreprise, cible d'abord les chemins critiques: fichiers système, répertoires applicatifs, secrets, scripts d'administration, configurations SSH, sudoers, services, zones web, dépôts CI/CD, etc. Quand c'est pertinent, active whodata pour savoir quel utilisateur et quel processus ont modifié un fichier.</w:t>
      </w:r>
    </w:p>
    <w:p>
      <w:pPr>
        <w:pStyle w:val="MiniHeading"/>
        <w:spacing w:before="0" w:after="60" w:line="276" w:lineRule="auto"/>
      </w:pPr>
      <w:r>
        <w:t>Exemple FIM orienté production</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&lt;syscheck&gt;</w:t>
              <w:br/>
              <w:t xml:space="preserve">  &lt;disabled&gt;no&lt;/disabled&gt;</w:t>
              <w:br/>
              <w:t xml:space="preserve">  &lt;frequency&gt;43200&lt;/frequency&gt;</w:t>
              <w:br/>
              <w:t xml:space="preserve">  &lt;directories check_all="yes" whodata="yes"&gt;/etc&lt;/directories&gt;</w:t>
              <w:br/>
              <w:t xml:space="preserve">  &lt;directories check_all="yes" whodata="yes"&gt;/opt&lt;/directories&gt;</w:t>
              <w:br/>
              <w:t xml:space="preserve">  &lt;directories check_all="yes" whodata="yes"&gt;/var/www&lt;/directories&gt;</w:t>
              <w:br/>
              <w:t xml:space="preserve">  &lt;nodiff&gt;/etc/ssl/private.key&lt;/nodiff&gt;</w:t>
              <w:br/>
              <w:t xml:space="preserve">  &lt;skip_nfs&gt;yes&lt;/skip_nfs&gt;</w:t>
              <w:br/>
              <w:t xml:space="preserve">  &lt;skip_dev&gt;yes&lt;/skip_dev&gt;</w:t>
              <w:br/>
              <w:t xml:space="preserve">  &lt;skip_proc&gt;yes&lt;/skip_proc&gt;</w:t>
              <w:br/>
              <w:t xml:space="preserve">  &lt;skip_sys&gt;yes&lt;/skip_sys&gt;</w:t>
              <w:br/>
              <w:t xml:space="preserve">  &lt;process_priority&gt;10&lt;/process_priority&gt;</w:t>
              <w:br/>
              <w:t xml:space="preserve">  &lt;max_eps&gt;50&lt;/max_eps&gt;</w:t>
              <w:br/>
              <w:t xml:space="preserve">  &lt;synchronization&gt;</w:t>
              <w:br/>
              <w:t xml:space="preserve">    &lt;enabled&gt;yes&lt;/enabled&gt;</w:t>
              <w:br/>
              <w:t xml:space="preserve">    &lt;interval&gt;5m&lt;/interval&gt;</w:t>
              <w:br/>
              <w:t xml:space="preserve">    &lt;max_eps&gt;10&lt;/max_eps&gt;</w:t>
              <w:br/>
              <w:t xml:space="preserve">  &lt;/synchronization&gt;</w:t>
              <w:br/>
              <w:t>&lt;/syscheck&gt;</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Points d'attention FIM</w:t>
            </w:r>
          </w:p>
          <w:p>
            <w:pPr>
              <w:spacing w:before="0" w:after="40" w:line="276" w:lineRule="auto"/>
              <w:ind w:left="170" w:hanging="113"/>
            </w:pPr>
            <w:r>
              <w:t>• Ne surveille pas des répertoires trop volumineux sans justification.</w:t>
            </w:r>
          </w:p>
          <w:p>
            <w:pPr>
              <w:spacing w:before="0" w:after="40" w:line="276" w:lineRule="auto"/>
              <w:ind w:left="170" w:hanging="113"/>
            </w:pPr>
            <w:r>
              <w:t>• Exclus les zones éphémères et les systèmes spéciaux (/proc, /sys, /dev, NFS) sauf besoin explicite.</w:t>
            </w:r>
          </w:p>
          <w:p>
            <w:pPr>
              <w:spacing w:before="0" w:after="40" w:line="276" w:lineRule="auto"/>
              <w:ind w:left="170" w:hanging="113"/>
            </w:pPr>
            <w:r>
              <w:t>• Protège les fichiers sensibles avec nodiff lorsque le contenu ne doit pas être conservé ou affiché.</w:t>
            </w:r>
          </w:p>
        </w:tc>
      </w:tr>
    </w:tbl>
    <w:p/>
    <w:p>
      <w:pPr>
        <w:pStyle w:val="Heading2"/>
        <w:keepNext/>
        <w:spacing w:before="80" w:after="80" w:line="276" w:lineRule="auto"/>
      </w:pPr>
      <w:r>
        <w:t>6.5 Collecte de logs</w:t>
      </w:r>
    </w:p>
    <w:p>
      <w:pPr>
        <w:spacing w:before="0" w:after="120" w:line="276" w:lineRule="auto"/>
      </w:pPr>
      <w:r>
        <w:t>La collecte doit être pilotée par la valeur sécurité. Commence par les journaux d'authentification, les logs système, les journaux applicatifs exposés, les événements d'administration, les journaux proxy, les solutions EDR/AV et les événements d'infrastructure cloud. La collecte massive sans objectif produit du bruit, consomme du stockage et ralentit les analyses.</w:t>
      </w:r>
    </w:p>
    <w:p>
      <w:pPr>
        <w:spacing w:before="0" w:after="120" w:line="276" w:lineRule="auto"/>
      </w:pPr>
      <w:r>
        <w:t>Pour les sources agentless, utilise Syslog ou les modules d'intégration quand l'agent n'est pas possible. Pour les applications spécifiques, ajoute des localfile ciblés et documentés.</w:t>
      </w:r>
    </w:p>
    <w:p>
      <w:pPr>
        <w:pStyle w:val="Heading2"/>
        <w:keepNext/>
        <w:spacing w:before="80" w:after="80" w:line="276" w:lineRule="auto"/>
      </w:pPr>
      <w:r>
        <w:t>6.6 Active Response</w:t>
      </w:r>
    </w:p>
    <w:p>
      <w:pPr>
        <w:spacing w:before="0" w:after="120" w:line="276" w:lineRule="auto"/>
      </w:pPr>
      <w:r>
        <w:t>L'active response doit être introduite avec prudence. Commence par un périmètre limité, des règles bien testées, une durée de blocage faible et un runbook clair. Il vaut mieux une réponse automatique simple et fiable qu'une automatisation agressive qui casse l'exploitation.</w:t>
      </w:r>
    </w:p>
    <w:p>
      <w:pPr>
        <w:pStyle w:val="MiniHeading"/>
        <w:spacing w:before="0" w:after="60" w:line="276" w:lineRule="auto"/>
      </w:pPr>
      <w:r>
        <w:t>Exemple d'active response maîtrisée</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 Manager --&gt;</w:t>
              <w:br/>
              <w:t>&lt;active-response&gt;</w:t>
              <w:br/>
              <w:t xml:space="preserve">  &lt;disabled&gt;no&lt;/disabled&gt;</w:t>
              <w:br/>
              <w:t xml:space="preserve">  &lt;command&gt;host-deny&lt;/command&gt;</w:t>
              <w:br/>
              <w:t xml:space="preserve">  &lt;location&gt;defined-agent&lt;/location&gt;</w:t>
              <w:br/>
              <w:t xml:space="preserve">  &lt;agent_id&gt;032&lt;/agent_id&gt;</w:t>
              <w:br/>
              <w:t xml:space="preserve">  &lt;level&gt;10&lt;/level&gt;</w:t>
              <w:br/>
              <w:t xml:space="preserve">  &lt;rules_group&gt;sshd,|pci_dss_11.4,&lt;/rules_group&gt;</w:t>
              <w:br/>
              <w:t xml:space="preserve">  &lt;timeout&gt;60&lt;/timeout&gt;</w:t>
              <w:br/>
              <w:t>&lt;/active-response&gt;</w:t>
              <w:br/>
              <w:br/>
              <w:t>&lt;!-- Agent --&gt;</w:t>
              <w:br/>
              <w:t>&lt;active-response&gt;</w:t>
              <w:br/>
              <w:t xml:space="preserve">  &lt;disabled&gt;no&lt;/disabled&gt;</w:t>
              <w:br/>
              <w:t xml:space="preserve">  &lt;repeated_offenders&gt;1,5,10&lt;/repeated_offenders&gt;</w:t>
              <w:br/>
              <w:t>&lt;/active-response&gt;</w:t>
            </w:r>
          </w:p>
        </w:tc>
      </w:tr>
    </w:tbl>
    <w:p/>
    <w:tbl>
      <w:tblPr>
        <w:tblW w:type="auto" w:w="0"/>
        <w:jc w:val="center"/>
        <w:tblLayout w:type="autofit"/>
        <w:tblLook w:firstColumn="1" w:firstRow="1" w:lastColumn="0" w:lastRow="0" w:noHBand="0" w:noVBand="1" w:val="04A0"/>
      </w:tblPr>
      <w:tblGrid>
        <w:gridCol w:w="9866"/>
      </w:tblGrid>
      <w:tr>
        <w:tc>
          <w:tcPr>
            <w:tcW w:type="dxa" w:w="9866"/>
            <w:shd w:fill="FDE9E7"/>
            <w:tcMar>
              <w:top w:w="120" w:type="dxa"/>
              <w:start w:w="120" w:type="dxa"/>
              <w:bottom w:w="120" w:type="dxa"/>
              <w:end w:w="120" w:type="dxa"/>
            </w:tcMar>
            <w:vAlign w:val="center"/>
          </w:tcPr>
          <w:p>
            <w:pPr>
              <w:pStyle w:val="MiniHeading"/>
              <w:spacing w:before="0" w:after="80" w:line="276" w:lineRule="auto"/>
            </w:pPr>
            <w:r>
              <w:t>Ce qu'il faut éviter dès le départ</w:t>
            </w:r>
          </w:p>
          <w:p>
            <w:pPr>
              <w:spacing w:before="0" w:after="40" w:line="276" w:lineRule="auto"/>
              <w:ind w:left="170" w:hanging="113"/>
            </w:pPr>
            <w:r>
              <w:t>• Bloquer automatiquement toute IP sur tous les agents.</w:t>
            </w:r>
          </w:p>
          <w:p>
            <w:pPr>
              <w:spacing w:before="0" w:after="40" w:line="276" w:lineRule="auto"/>
              <w:ind w:left="170" w:hanging="113"/>
            </w:pPr>
            <w:r>
              <w:t>• Déclencher des réponses sur des règles non stabilisées.</w:t>
            </w:r>
          </w:p>
          <w:p>
            <w:pPr>
              <w:spacing w:before="0" w:after="40" w:line="276" w:lineRule="auto"/>
              <w:ind w:left="170" w:hanging="113"/>
            </w:pPr>
            <w:r>
              <w:t>• Lancer des actions destructives sans timeout, sans journalisation et sans validation.</w:t>
            </w:r>
          </w:p>
        </w:tc>
      </w:tr>
    </w:tbl>
    <w:p/>
    <w:p>
      <w:r>
        <w:br w:type="page"/>
      </w:r>
    </w:p>
    <w:p>
      <w:pPr>
        <w:pStyle w:val="Heading1"/>
        <w:keepNext/>
        <w:spacing w:before="160" w:after="80" w:line="276" w:lineRule="auto"/>
      </w:pPr>
      <w:r>
        <w:t>7. Configuration du dashboard: Discover, visualisations, alertes, reporting, cartes et notifications</w:t>
      </w:r>
    </w:p>
    <w:p>
      <w:pPr>
        <w:spacing w:before="0" w:after="120" w:line="276" w:lineRule="auto"/>
      </w:pPr>
      <w:r>
        <w:rPr>
          <w:rFonts w:ascii="Arial" w:hAnsi="Arial"/>
          <w:color w:val="1F2933"/>
          <w:sz w:val="20"/>
        </w:rPr>
        <w:t>Cette section est centrale, car c'est ici que Wazuh devient un outil réellement exploitable par l'entreprise. Le dashboard doit être organisé pour quatre usages: supervision quotidienne, investigation, pilotage conformité et reporting management.</w:t>
      </w:r>
    </w:p>
    <w:p>
      <w:pPr>
        <w:spacing w:before="0" w:after="120" w:line="276" w:lineRule="auto"/>
      </w:pPr>
      <w:r>
        <w:t>Le plus efficace est de construire un socle de data views et de dashboards normalisés, puis d'ajouter les fonctions avancées d'OpenSearch Dashboards présentes dans l'interface: Discover, Visualize, Alerting, Notifications, Reporting, Maps et Anomaly Detection.</w:t>
      </w:r>
    </w:p>
    <w:p>
      <w:pPr>
        <w:pStyle w:val="MiniHeading"/>
        <w:spacing w:before="0" w:after="80" w:line="276" w:lineRule="auto"/>
      </w:pPr>
      <w:r>
        <w:t>Data views / index patterns à créer ou valider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005"/>
            <w:shd w:fill="1F6A52"/>
            <w:tcMar>
              <w:top w:w="100" w:type="dxa"/>
              <w:start w:w="100" w:type="dxa"/>
              <w:bottom w:w="100" w:type="dxa"/>
              <w:end w:w="100" w:type="dxa"/>
            </w:tcMar>
            <w:vAlign w:val="center"/>
          </w:tcPr>
          <w:p>
            <w:r>
              <w:rPr>
                <w:rFonts w:ascii="Arial" w:hAnsi="Arial"/>
                <w:b/>
                <w:color w:val="FFFFFF"/>
                <w:sz w:val="19"/>
              </w:rPr>
              <w:t>Pattern</w:t>
            </w:r>
          </w:p>
        </w:tc>
        <w:tc>
          <w:tcPr>
            <w:tcW w:type="dxa" w:w="6066"/>
            <w:shd w:fill="1F6A52"/>
            <w:tcMar>
              <w:top w:w="100" w:type="dxa"/>
              <w:start w:w="100" w:type="dxa"/>
              <w:bottom w:w="100" w:type="dxa"/>
              <w:end w:w="100" w:type="dxa"/>
            </w:tcMar>
            <w:vAlign w:val="center"/>
          </w:tcPr>
          <w:p>
            <w:r>
              <w:rPr>
                <w:rFonts w:ascii="Arial" w:hAnsi="Arial"/>
                <w:b/>
                <w:color w:val="FFFFFF"/>
                <w:sz w:val="19"/>
              </w:rPr>
              <w:t>Usage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wazuh-alerts-*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Alertes de sécurité; base principale pour l'investigation et les dashboards SOC</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wazuh-archives-*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Tous les événements reçus; utile pour forensic et conformité si l'indexation des archives est activée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wazuh-monitoring-*</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État et historique de connexion des agents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wazuh-statistics-*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Statistiques et performance du manager</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wazuh-states-vulnerabilities-*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Inventaire des vulnérabilités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wazuh-states-inventory-*</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Vue large sur l'inventaire et l'hygiène IT</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Règle d'or dashboard</w:t>
            </w:r>
          </w:p>
          <w:p>
            <w:pPr>
              <w:spacing w:before="0" w:after="80" w:line="276" w:lineRule="auto"/>
            </w:pPr>
            <w:r>
              <w:t>Ne livre pas un dashboard monolithique. Prépare un petit nombre de dashboards lisibles, chacun avec un usage clair, des filtres cohérents et des panels réellement actionnables.</w:t>
            </w:r>
          </w:p>
        </w:tc>
      </w:tr>
    </w:tbl>
    <w:p/>
    <w:p>
      <w:pPr>
        <w:pStyle w:val="Heading2"/>
        <w:keepNext/>
        <w:spacing w:before="80" w:after="80" w:line="276" w:lineRule="auto"/>
      </w:pPr>
      <w:r>
        <w:t>7.1 Discover / Explorer / Découvrir</w:t>
      </w:r>
    </w:p>
    <w:p>
      <w:pPr>
        <w:spacing w:before="0" w:after="120" w:line="276" w:lineRule="auto"/>
      </w:pPr>
      <w:r>
        <w:t>Discover est l'outil d'exploration des événements. C'est là que l'analyste filtre, inspecte les documents, choisit les champs utiles et transforme une recherche en visualisation ou en tableau de bord. C'est aussi le point d'entrée idéal pour la chasse, le triage et la validation des règles.</w:t>
      </w:r>
    </w:p>
    <w:p>
      <w:pPr>
        <w:spacing w:before="0" w:after="80" w:line="276" w:lineRule="auto"/>
        <w:ind w:left="340" w:hanging="170"/>
      </w:pPr>
      <w:r>
        <w:t>• Créer et sauvegarder des recherches nommées par cas d'usage: authentification, élévation de privilèges, PowerShell, sudo, GitHub admin events, Office 365 admin actions, incidents Microsoft, changements Docker, etc.</w:t>
      </w:r>
    </w:p>
    <w:p>
      <w:pPr>
        <w:spacing w:before="0" w:after="80" w:line="276" w:lineRule="auto"/>
        <w:ind w:left="340" w:hanging="170"/>
      </w:pPr>
      <w:r>
        <w:t>• Définir un jeu de colonnes standard pour le triage: timestamp, rule.id, rule.level, agent.name, srcip, user, event.module, full_log ou équivalent utile.</w:t>
      </w:r>
    </w:p>
    <w:p>
      <w:pPr>
        <w:spacing w:before="0" w:after="80" w:line="276" w:lineRule="auto"/>
        <w:ind w:left="340" w:hanging="170"/>
      </w:pPr>
      <w:r>
        <w:t>• Créer des filtres sauvegardés par criticité, par groupe d'agents, par environnement, par source cloud et par conformité.</w:t>
      </w:r>
    </w:p>
    <w:p>
      <w:pPr>
        <w:pStyle w:val="MiniHeading"/>
        <w:spacing w:before="0" w:after="80" w:line="276" w:lineRule="auto"/>
      </w:pPr>
      <w:r>
        <w:t>Recherches Discover utiles à préparer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154"/>
            <w:shd w:fill="1F6A52"/>
            <w:tcMar>
              <w:top w:w="100" w:type="dxa"/>
              <w:start w:w="100" w:type="dxa"/>
              <w:bottom w:w="100" w:type="dxa"/>
              <w:end w:w="100" w:type="dxa"/>
            </w:tcMar>
            <w:vAlign w:val="center"/>
          </w:tcPr>
          <w:p>
            <w:r>
              <w:rPr>
                <w:rFonts w:ascii="Arial" w:hAnsi="Arial"/>
                <w:b/>
                <w:color w:val="FFFFFF"/>
                <w:sz w:val="19"/>
              </w:rPr>
              <w:t>Recherche</w:t>
            </w:r>
          </w:p>
        </w:tc>
        <w:tc>
          <w:tcPr>
            <w:tcW w:type="dxa" w:w="2721"/>
            <w:shd w:fill="1F6A52"/>
            <w:tcMar>
              <w:top w:w="100" w:type="dxa"/>
              <w:start w:w="100" w:type="dxa"/>
              <w:bottom w:w="100" w:type="dxa"/>
              <w:end w:w="100" w:type="dxa"/>
            </w:tcMar>
            <w:vAlign w:val="center"/>
          </w:tcPr>
          <w:p>
            <w:r>
              <w:rPr>
                <w:rFonts w:ascii="Arial" w:hAnsi="Arial"/>
                <w:b/>
                <w:color w:val="FFFFFF"/>
                <w:sz w:val="19"/>
              </w:rPr>
              <w:t>Pattern</w:t>
            </w:r>
          </w:p>
        </w:tc>
        <w:tc>
          <w:tcPr>
            <w:tcW w:type="dxa" w:w="4195"/>
            <w:shd w:fill="1F6A52"/>
            <w:tcMar>
              <w:top w:w="100" w:type="dxa"/>
              <w:start w:w="100" w:type="dxa"/>
              <w:bottom w:w="100" w:type="dxa"/>
              <w:end w:w="100" w:type="dxa"/>
            </w:tcMar>
            <w:vAlign w:val="center"/>
          </w:tcPr>
          <w:p>
            <w:r>
              <w:rPr>
                <w:rFonts w:ascii="Arial" w:hAnsi="Arial"/>
                <w:b/>
                <w:color w:val="FFFFFF"/>
                <w:sz w:val="19"/>
              </w:rPr>
              <w:t>Champs / filtres clés</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SOC - triage</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wazuh-alerts-*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rule.level &gt;= 7; rule.groups; agent.name; srcip; user</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Forensic</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wazuh-archives-*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full_log, decoder, raw event, correlation technique</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Santé agents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wazuh-monitoring-*</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status, lastKeepAlive, groups, version</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Vulnérabilités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wazuh-states-vulnerabilities-*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package.name, cve, severity, status, host</w:t>
            </w:r>
          </w:p>
        </w:tc>
      </w:tr>
    </w:tbl>
    <w:p/>
    <w:p>
      <w:pPr>
        <w:pStyle w:val="Heading2"/>
        <w:keepNext/>
        <w:spacing w:before="80" w:after="80" w:line="276" w:lineRule="auto"/>
      </w:pPr>
      <w:r>
        <w:t>7.2 Visualize et tableaux de bord</w:t>
      </w:r>
    </w:p>
    <w:p>
      <w:pPr>
        <w:spacing w:before="0" w:after="120" w:line="276" w:lineRule="auto"/>
      </w:pPr>
      <w:r>
        <w:t>Les visualisations doivent répondre à une question opérationnelle précise. Évite les graphiques décoratifs; privilégie les compteurs, time series, top N, tableaux, heatmaps et histogrammes directement exploitables.</w:t>
      </w:r>
    </w:p>
    <w:p>
      <w:pPr>
        <w:pStyle w:val="MiniHeading"/>
        <w:spacing w:before="0" w:after="80" w:line="276" w:lineRule="auto"/>
      </w:pPr>
      <w:r>
        <w:t>Jeu minimal de dashboards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F6A52"/>
            <w:tcMar>
              <w:top w:w="100" w:type="dxa"/>
              <w:start w:w="100" w:type="dxa"/>
              <w:bottom w:w="100" w:type="dxa"/>
              <w:end w:w="100" w:type="dxa"/>
            </w:tcMar>
            <w:vAlign w:val="center"/>
          </w:tcPr>
          <w:p>
            <w:r>
              <w:rPr>
                <w:rFonts w:ascii="Arial" w:hAnsi="Arial"/>
                <w:b/>
                <w:color w:val="FFFFFF"/>
                <w:sz w:val="19"/>
              </w:rPr>
              <w:t>Dashboard</w:t>
            </w:r>
          </w:p>
        </w:tc>
        <w:tc>
          <w:tcPr>
            <w:tcW w:type="dxa" w:w="6803"/>
            <w:shd w:fill="1F6A52"/>
            <w:tcMar>
              <w:top w:w="100" w:type="dxa"/>
              <w:start w:w="100" w:type="dxa"/>
              <w:bottom w:w="100" w:type="dxa"/>
              <w:end w:w="100" w:type="dxa"/>
            </w:tcMar>
            <w:vAlign w:val="center"/>
          </w:tcPr>
          <w:p>
            <w:r>
              <w:rPr>
                <w:rFonts w:ascii="Arial" w:hAnsi="Arial"/>
                <w:b/>
                <w:color w:val="FFFFFF"/>
                <w:sz w:val="19"/>
              </w:rPr>
              <w:t>Contenu</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SOC Overview</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Volume d'alertes, top règles, top agents, top users, top srcip, évolution 24h</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Endpoint Security</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FIM, malware, SCA, alertes par OS, changements sensibles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IT Hygiene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Packages, services, processus, utilisateurs, extensions navigateur, machines hors standard</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Cloud Security</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AWS, GCP, Office 365, Microsoft Graph, GitHub, Docker</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Compliance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Panels PCI DSS, RGPD, HIPAA, NIST 800-53, TSC</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Management</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KPI, tendances, backlog de vulnérabilités, santé agents, niveau de bruit</w:t>
            </w:r>
          </w:p>
        </w:tc>
      </w:tr>
    </w:tbl>
    <w:p/>
    <w:tbl>
      <w:tblPr>
        <w:tblW w:type="auto" w:w="0"/>
        <w:jc w:val="center"/>
        <w:tblLayout w:type="autofit"/>
        <w:tblLook w:firstColumn="1" w:firstRow="1" w:lastColumn="0" w:lastRow="0" w:noHBand="0" w:noVBand="1" w:val="04A0"/>
      </w:tblPr>
      <w:tblGrid>
        <w:gridCol w:w="9866"/>
      </w:tblGrid>
      <w:tr>
        <w:tc>
          <w:tcPr>
            <w:tcW w:type="dxa" w:w="9866"/>
            <w:shd w:fill="F4F7F9"/>
            <w:tcMar>
              <w:top w:w="120" w:type="dxa"/>
              <w:start w:w="120" w:type="dxa"/>
              <w:bottom w:w="120" w:type="dxa"/>
              <w:end w:w="120" w:type="dxa"/>
            </w:tcMar>
            <w:vAlign w:val="center"/>
          </w:tcPr>
          <w:p>
            <w:pPr>
              <w:pStyle w:val="MiniHeading"/>
              <w:spacing w:before="0" w:after="80" w:line="276" w:lineRule="auto"/>
            </w:pPr>
            <w:r>
              <w:t>Construction propre d'un dashboard</w:t>
            </w:r>
          </w:p>
          <w:p>
            <w:pPr>
              <w:spacing w:before="0" w:after="40" w:line="276" w:lineRule="auto"/>
              <w:ind w:left="170" w:hanging="113"/>
            </w:pPr>
            <w:r>
              <w:t>• Commencer par des visualisations simples basées sur des recherches stables.</w:t>
            </w:r>
          </w:p>
          <w:p>
            <w:pPr>
              <w:spacing w:before="0" w:after="40" w:line="276" w:lineRule="auto"/>
              <w:ind w:left="170" w:hanging="113"/>
            </w:pPr>
            <w:r>
              <w:t>• Limiter le nombre de panels pour garder une page lisible.</w:t>
            </w:r>
          </w:p>
          <w:p>
            <w:pPr>
              <w:spacing w:before="0" w:after="40" w:line="276" w:lineRule="auto"/>
              <w:ind w:left="170" w:hanging="113"/>
            </w:pPr>
            <w:r>
              <w:t>• Ajouter des filtres globaux de temps, d'environnement et de criticité.</w:t>
            </w:r>
          </w:p>
          <w:p>
            <w:pPr>
              <w:spacing w:before="0" w:after="40" w:line="276" w:lineRule="auto"/>
              <w:ind w:left="170" w:hanging="113"/>
            </w:pPr>
            <w:r>
              <w:t>• Séparer les dashboards analyste, admin et management au lieu d'essayer de tout mettre dans la même vue.</w:t>
            </w:r>
          </w:p>
        </w:tc>
      </w:tr>
    </w:tbl>
    <w:p/>
    <w:p>
      <w:pPr>
        <w:pStyle w:val="Heading2"/>
        <w:keepNext/>
        <w:spacing w:before="80" w:after="80" w:line="276" w:lineRule="auto"/>
      </w:pPr>
      <w:r>
        <w:t>7.3 WQL, filtres et requêtes globales</w:t>
      </w:r>
    </w:p>
    <w:p>
      <w:pPr>
        <w:spacing w:before="0" w:after="120" w:line="276" w:lineRule="auto"/>
      </w:pPr>
      <w:r>
        <w:t>WQL est utile dans les zones spécialisées du dashboard Wazuh pour filtrer proprement les données. Il est sensible à la casse et s'appuie sur des champs précis. En parallèle, les global queries sur les données d'état permettent une vision centralisée de l'inventaire et des vulnérabilités à l'échelle de l'ensemble des endpoints.</w:t>
      </w:r>
    </w:p>
    <w:p>
      <w:pPr>
        <w:pStyle w:val="MiniHeading"/>
        <w:spacing w:before="0" w:after="60" w:line="276" w:lineRule="auto"/>
      </w:pPr>
      <w:r>
        <w:t>Exemples de filtres à adapter</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 Exemples de logique de filtrage utiles</w:t>
              <w:br/>
              <w:t>status=disconnected and os.platform=debian</w:t>
              <w:br/>
              <w:t>name=Avenger or name=Bazar</w:t>
              <w:br/>
              <w:t>(package.name=openssl) and (status=active)</w:t>
            </w:r>
          </w:p>
        </w:tc>
      </w:tr>
    </w:tbl>
    <w:p/>
    <w:p>
      <w:pPr>
        <w:pStyle w:val="Heading2"/>
        <w:keepNext/>
        <w:spacing w:before="80" w:after="80" w:line="276" w:lineRule="auto"/>
      </w:pPr>
      <w:r>
        <w:t>7.4 Alerting</w:t>
      </w:r>
    </w:p>
    <w:p>
      <w:pPr>
        <w:spacing w:before="0" w:after="120" w:line="276" w:lineRule="auto"/>
      </w:pPr>
      <w:r>
        <w:t>L'alerting dans OpenSearch fonctionne avec des monitors, des triggers et des actions. Dans un contexte Wazuh, le plus propre est de créer quelques monitors à forte valeur plutôt qu'une avalanche d'alertes secondaires.</w:t>
      </w:r>
    </w:p>
    <w:p>
      <w:pPr>
        <w:pStyle w:val="MiniHeading"/>
        <w:spacing w:before="0" w:after="80" w:line="276" w:lineRule="auto"/>
      </w:pPr>
      <w:r>
        <w:t>Monitors prioritaires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F6A52"/>
            <w:tcMar>
              <w:top w:w="100" w:type="dxa"/>
              <w:start w:w="100" w:type="dxa"/>
              <w:bottom w:w="100" w:type="dxa"/>
              <w:end w:w="100" w:type="dxa"/>
            </w:tcMar>
            <w:vAlign w:val="center"/>
          </w:tcPr>
          <w:p>
            <w:r>
              <w:rPr>
                <w:rFonts w:ascii="Arial" w:hAnsi="Arial"/>
                <w:b/>
                <w:color w:val="FFFFFF"/>
                <w:sz w:val="19"/>
              </w:rPr>
              <w:t>Famille</w:t>
            </w:r>
          </w:p>
        </w:tc>
        <w:tc>
          <w:tcPr>
            <w:tcW w:type="dxa" w:w="6690"/>
            <w:shd w:fill="1F6A52"/>
            <w:tcMar>
              <w:top w:w="100" w:type="dxa"/>
              <w:start w:w="100" w:type="dxa"/>
              <w:bottom w:w="100" w:type="dxa"/>
              <w:end w:w="100" w:type="dxa"/>
            </w:tcMar>
            <w:vAlign w:val="center"/>
          </w:tcPr>
          <w:p>
            <w:r>
              <w:rPr>
                <w:rFonts w:ascii="Arial" w:hAnsi="Arial"/>
                <w:b/>
                <w:color w:val="FFFFFF"/>
                <w:sz w:val="19"/>
              </w:rPr>
              <w:t>Exemples de déclencheurs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Santé plateforme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Absence de nouveaux documents, agents déconnectés, hausse des dropped events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Auth / identité</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Pics d'échecs de connexion, brute force, création de compte admin, événement Entra ID à haut risque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Cloud admin</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Actions sensibles GitHub, Office 365 admin, incidents Microsoft 365 Defender</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Conformité / hardening</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Hausse des checks SCA en échec, modifications FIM sur périmètre critique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Vulnérabilités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Apparition de CVE critiques sur actifs sensibles</w:t>
            </w:r>
          </w:p>
        </w:tc>
      </w:tr>
    </w:tbl>
    <w:p/>
    <w:p>
      <w:pPr>
        <w:pStyle w:val="MiniHeading"/>
        <w:spacing w:before="0" w:after="60" w:line="276" w:lineRule="auto"/>
      </w:pPr>
      <w:r>
        <w:t>Exemple de message d'action (webhook)</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Modèle de message d'action:</w:t>
              <w:br/>
              <w:t>{</w:t>
              <w:br/>
              <w:t xml:space="preserve">  "text": "Alerte Wazuh - monitor {{ctx.monitor.name}} - trigger {{ctx.trigger.name}} - sévérité {{ctx.trigger.severity}} - début {{ctx.periodStart}} - fin {{ctx.periodEnd}}"</w:t>
              <w:br/>
              <w:t>}</w:t>
            </w:r>
          </w:p>
        </w:tc>
      </w:tr>
    </w:tbl>
    <w:p/>
    <w:p>
      <w:pPr>
        <w:pStyle w:val="Heading2"/>
        <w:keepNext/>
        <w:spacing w:before="80" w:after="80" w:line="276" w:lineRule="auto"/>
      </w:pPr>
      <w:r>
        <w:t>7.5 Notifications</w:t>
      </w:r>
    </w:p>
    <w:p>
      <w:pPr>
        <w:spacing w:before="0" w:after="120" w:line="276" w:lineRule="auto"/>
      </w:pPr>
      <w:r>
        <w:t>Les notifications doivent être pensées comme une chaîne de diffusion métier. Le plugin Notifications permet de créer des canaux et de les réutiliser depuis l'alerting ou d'autres plugins.</w:t>
      </w:r>
    </w:p>
    <w:p>
      <w:pPr>
        <w:pStyle w:val="MiniHeading"/>
        <w:spacing w:before="0" w:after="80" w:line="276" w:lineRule="auto"/>
      </w:pPr>
      <w:r>
        <w:t>Canaux de notification à prévoir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94"/>
            <w:shd w:fill="1F6A52"/>
            <w:tcMar>
              <w:top w:w="100" w:type="dxa"/>
              <w:start w:w="100" w:type="dxa"/>
              <w:bottom w:w="100" w:type="dxa"/>
              <w:end w:w="100" w:type="dxa"/>
            </w:tcMar>
            <w:vAlign w:val="center"/>
          </w:tcPr>
          <w:p>
            <w:r>
              <w:rPr>
                <w:rFonts w:ascii="Arial" w:hAnsi="Arial"/>
                <w:b/>
                <w:color w:val="FFFFFF"/>
                <w:sz w:val="19"/>
              </w:rPr>
              <w:t>Canal</w:t>
            </w:r>
          </w:p>
        </w:tc>
        <w:tc>
          <w:tcPr>
            <w:tcW w:type="dxa" w:w="6576"/>
            <w:shd w:fill="1F6A52"/>
            <w:tcMar>
              <w:top w:w="100" w:type="dxa"/>
              <w:start w:w="100" w:type="dxa"/>
              <w:bottom w:w="100" w:type="dxa"/>
              <w:end w:w="100" w:type="dxa"/>
            </w:tcMar>
            <w:vAlign w:val="center"/>
          </w:tcPr>
          <w:p>
            <w:r>
              <w:rPr>
                <w:rFonts w:ascii="Arial" w:hAnsi="Arial"/>
                <w:b/>
                <w:color w:val="FFFFFF"/>
                <w:sz w:val="19"/>
              </w:rPr>
              <w:t>Usage recommandé</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Email / SMTP</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Pour la conformité, le management et certaines alertes de synthèse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Slack / Microsoft Teams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Pour le SOC, la cellule DevSecOps ou l'astreinte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Webhook custom</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Pour une intégration SIEM/SOAR, ticketing ou orchestration</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SNS / SES / Chime</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Cas AWS ou usages spécifiques déjà présents dans l'entreprise</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Bon usage des notifications</w:t>
            </w:r>
          </w:p>
          <w:p>
            <w:pPr>
              <w:spacing w:before="0" w:after="40" w:line="276" w:lineRule="auto"/>
              <w:ind w:left="170" w:hanging="113"/>
            </w:pPr>
            <w:r>
              <w:t>• Un canal par usage: SOC temps réel, synthèse quotidienne, conformité hebdomadaire, maintenance plateforme.</w:t>
            </w:r>
          </w:p>
          <w:p>
            <w:pPr>
              <w:spacing w:before="0" w:after="40" w:line="276" w:lineRule="auto"/>
              <w:ind w:left="170" w:hanging="113"/>
            </w:pPr>
            <w:r>
              <w:t>• Ne pas envoyer toutes les alertes brutes par email.</w:t>
            </w:r>
          </w:p>
          <w:p>
            <w:pPr>
              <w:spacing w:before="0" w:after="40" w:line="276" w:lineRule="auto"/>
              <w:ind w:left="170" w:hanging="113"/>
            </w:pPr>
            <w:r>
              <w:t>• Standardiser le format des messages: quoi, où, niveau, périmètre, lien dashboard, action attendue.</w:t>
            </w:r>
          </w:p>
        </w:tc>
      </w:tr>
    </w:tbl>
    <w:p/>
    <w:p>
      <w:pPr>
        <w:pStyle w:val="Heading2"/>
        <w:keepNext/>
        <w:spacing w:before="80" w:after="80" w:line="276" w:lineRule="auto"/>
      </w:pPr>
      <w:r>
        <w:t>7.6 Reporting / Signalement</w:t>
      </w:r>
    </w:p>
    <w:p>
      <w:pPr>
        <w:spacing w:before="0" w:after="120" w:line="276" w:lineRule="auto"/>
      </w:pPr>
      <w:r>
        <w:t>Le reporting sert à produire des exports PDF, PNG ou CSV à partir des dashboards, visualisations ou recherches Discover. Utilise-le pour des rapports hebdomadaires de sécurité, des synthèses de conformité et des exports ponctuels pour l'audit.</w:t>
      </w:r>
    </w:p>
    <w:p>
      <w:pPr>
        <w:pStyle w:val="MiniHeading"/>
        <w:spacing w:before="0" w:after="80" w:line="276" w:lineRule="auto"/>
      </w:pPr>
      <w:r>
        <w:t>Exemples de rapports utiles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1F6A52"/>
            <w:tcMar>
              <w:top w:w="100" w:type="dxa"/>
              <w:start w:w="100" w:type="dxa"/>
              <w:bottom w:w="100" w:type="dxa"/>
              <w:end w:w="100" w:type="dxa"/>
            </w:tcMar>
            <w:vAlign w:val="center"/>
          </w:tcPr>
          <w:p>
            <w:r>
              <w:rPr>
                <w:rFonts w:ascii="Arial" w:hAnsi="Arial"/>
                <w:b/>
                <w:color w:val="FFFFFF"/>
                <w:sz w:val="19"/>
              </w:rPr>
              <w:t>Rapport</w:t>
            </w:r>
          </w:p>
        </w:tc>
        <w:tc>
          <w:tcPr>
            <w:tcW w:type="dxa" w:w="4195"/>
            <w:shd w:fill="1F6A52"/>
            <w:tcMar>
              <w:top w:w="100" w:type="dxa"/>
              <w:start w:w="100" w:type="dxa"/>
              <w:bottom w:w="100" w:type="dxa"/>
              <w:end w:w="100" w:type="dxa"/>
            </w:tcMar>
            <w:vAlign w:val="center"/>
          </w:tcPr>
          <w:p>
            <w:r>
              <w:rPr>
                <w:rFonts w:ascii="Arial" w:hAnsi="Arial"/>
                <w:b/>
                <w:color w:val="FFFFFF"/>
                <w:sz w:val="19"/>
              </w:rPr>
              <w:t>Source</w:t>
            </w:r>
          </w:p>
        </w:tc>
        <w:tc>
          <w:tcPr>
            <w:tcW w:type="dxa" w:w="2154"/>
            <w:shd w:fill="1F6A52"/>
            <w:tcMar>
              <w:top w:w="100" w:type="dxa"/>
              <w:start w:w="100" w:type="dxa"/>
              <w:bottom w:w="100" w:type="dxa"/>
              <w:end w:w="100" w:type="dxa"/>
            </w:tcMar>
            <w:vAlign w:val="center"/>
          </w:tcPr>
          <w:p>
            <w:r>
              <w:rPr>
                <w:rFonts w:ascii="Arial" w:hAnsi="Arial"/>
                <w:b/>
                <w:color w:val="FFFFFF"/>
                <w:sz w:val="19"/>
              </w:rPr>
              <w:t>Format</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Rapport SOC hebdomadaire</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Dashboard SOC Overview</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PDF</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Rapport conformité mensuel</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Dashboard Compliance</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PDF</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Export vulnérabilités critiques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Discover / data view vulnérabilités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CSV</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État agents et versions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Dashboard management / monitoring</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PNG ou PDF</w:t>
            </w:r>
          </w:p>
        </w:tc>
      </w:tr>
    </w:tbl>
    <w:p/>
    <w:p>
      <w:pPr>
        <w:pStyle w:val="Heading2"/>
        <w:keepNext/>
        <w:spacing w:before="80" w:after="80" w:line="276" w:lineRule="auto"/>
      </w:pPr>
      <w:r>
        <w:t>7.7 Anomaly Detection</w:t>
      </w:r>
    </w:p>
    <w:p>
      <w:pPr>
        <w:spacing w:before="0" w:after="120" w:line="276" w:lineRule="auto"/>
      </w:pPr>
      <w:r>
        <w:t>La détection d'anomalies ne doit pas être la première brique activée. Elle devient utile quand les flux sont stables et que l'on connaît le comportement normal de l'environnement. Commence sur peu de cas d'usage, avec des séries temporelles simples.</w:t>
      </w:r>
    </w:p>
    <w:p>
      <w:pPr>
        <w:pStyle w:val="MiniHeading"/>
        <w:spacing w:before="0" w:after="80" w:line="276" w:lineRule="auto"/>
      </w:pPr>
      <w:r>
        <w:t>Cas d'usage d'anomaly detection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51"/>
            <w:shd w:fill="1F6A52"/>
            <w:tcMar>
              <w:top w:w="100" w:type="dxa"/>
              <w:start w:w="100" w:type="dxa"/>
              <w:bottom w:w="100" w:type="dxa"/>
              <w:end w:w="100" w:type="dxa"/>
            </w:tcMar>
            <w:vAlign w:val="center"/>
          </w:tcPr>
          <w:p>
            <w:r>
              <w:rPr>
                <w:rFonts w:ascii="Arial" w:hAnsi="Arial"/>
                <w:b/>
                <w:color w:val="FFFFFF"/>
                <w:sz w:val="19"/>
              </w:rPr>
              <w:t>Cas</w:t>
            </w:r>
          </w:p>
        </w:tc>
        <w:tc>
          <w:tcPr>
            <w:tcW w:type="dxa" w:w="6520"/>
            <w:shd w:fill="1F6A52"/>
            <w:tcMar>
              <w:top w:w="100" w:type="dxa"/>
              <w:start w:w="100" w:type="dxa"/>
              <w:bottom w:w="100" w:type="dxa"/>
              <w:end w:w="100" w:type="dxa"/>
            </w:tcMar>
            <w:vAlign w:val="center"/>
          </w:tcPr>
          <w:p>
            <w:r>
              <w:rPr>
                <w:rFonts w:ascii="Arial" w:hAnsi="Arial"/>
                <w:b/>
                <w:color w:val="FFFFFF"/>
                <w:sz w:val="19"/>
              </w:rPr>
              <w:t>Finalité</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Volume d'alertes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Détecter des pics anormaux par règle ou par groupe d'agents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Auth failures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Détecter une hausse brutale des échecs de connexion</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Cloud events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Détecter un changement de fréquence d'événements admin GitHub / O365 / Graph</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Santé agents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Détecter une baisse anormale des agents actifs ou du flux de logs</w:t>
            </w:r>
          </w:p>
        </w:tc>
      </w:tr>
    </w:tbl>
    <w:p/>
    <w:p>
      <w:pPr>
        <w:pStyle w:val="Heading2"/>
        <w:keepNext/>
        <w:spacing w:before="80" w:after="80" w:line="276" w:lineRule="auto"/>
      </w:pPr>
      <w:r>
        <w:t>7.8 Maps</w:t>
      </w:r>
    </w:p>
    <w:p>
      <w:pPr>
        <w:spacing w:before="0" w:after="120" w:line="276" w:lineRule="auto"/>
      </w:pPr>
      <w:r>
        <w:rPr>
          <w:rFonts w:ascii="Arial" w:hAnsi="Arial"/>
          <w:color w:val="1F2933"/>
          <w:sz w:val="20"/>
        </w:rPr>
        <w:t>Les cartes ne sont utiles que si des champs géographiques exploitables sont disponibles. Elles ne doivent pas devenir une priorité si les événements ne contiennent pas de géolocalisation, de coordonnées ou d'enrichissement GeoIP pertinent. En revanche, pour des alertes réseau, des flux cloud ou des investigations Internet, une carte peut apporter une bonne vue d'ensemble.</w:t>
      </w:r>
    </w:p>
    <w:p>
      <w:pPr>
        <w:spacing w:before="0" w:after="80" w:line="276" w:lineRule="auto"/>
        <w:ind w:left="340" w:hanging="170"/>
      </w:pPr>
      <w:r>
        <w:rPr>
          <w:rFonts w:ascii="Arial" w:hAnsi="Arial"/>
          <w:color w:val="1F2933"/>
          <w:sz w:val="20"/>
        </w:rPr>
        <w:t>• Utiliser Maps pour des top sources géographiques si les IP externes sont enrichies proprement.</w:t>
      </w:r>
    </w:p>
    <w:p>
      <w:pPr>
        <w:spacing w:before="0" w:after="80" w:line="276" w:lineRule="auto"/>
        <w:ind w:left="340" w:hanging="170"/>
      </w:pPr>
      <w:r>
        <w:t>• Éviter les cartes vides ou purement décoratives.</w:t>
      </w:r>
    </w:p>
    <w:p>
      <w:pPr>
        <w:spacing w:before="0" w:after="80" w:line="276" w:lineRule="auto"/>
        <w:ind w:left="340" w:hanging="170"/>
      </w:pPr>
      <w:r>
        <w:t>• Ne pas mélanger sur une même carte des données non comparables.</w:t>
      </w:r>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Livrable dashboard minimum viable</w:t>
            </w:r>
          </w:p>
          <w:p>
            <w:pPr>
              <w:spacing w:before="0" w:after="40" w:line="276" w:lineRule="auto"/>
              <w:ind w:left="170" w:hanging="113"/>
            </w:pPr>
            <w:r>
              <w:t>• 6 dashboards utiles maximum au démarrage.</w:t>
            </w:r>
          </w:p>
          <w:p>
            <w:pPr>
              <w:spacing w:before="0" w:after="40" w:line="276" w:lineRule="auto"/>
              <w:ind w:left="170" w:hanging="113"/>
            </w:pPr>
            <w:r>
              <w:t>• 10 à 15 recherches Discover sauvegardées.</w:t>
            </w:r>
          </w:p>
          <w:p>
            <w:pPr>
              <w:spacing w:before="0" w:after="40" w:line="276" w:lineRule="auto"/>
              <w:ind w:left="170" w:hanging="113"/>
            </w:pPr>
            <w:r>
              <w:t>• 5 à 8 monitors réellement actionnables.</w:t>
            </w:r>
          </w:p>
          <w:p>
            <w:pPr>
              <w:spacing w:before="0" w:after="40" w:line="276" w:lineRule="auto"/>
              <w:ind w:left="170" w:hanging="113"/>
            </w:pPr>
            <w:r>
              <w:t>• 4 canaux de notification max au départ.</w:t>
            </w:r>
          </w:p>
          <w:p>
            <w:pPr>
              <w:spacing w:before="0" w:after="40" w:line="276" w:lineRule="auto"/>
              <w:ind w:left="170" w:hanging="113"/>
            </w:pPr>
            <w:r>
              <w:t>• 1 ou 2 cartes seulement si les données géographiques sont pertinentes.</w:t>
            </w:r>
          </w:p>
        </w:tc>
      </w:tr>
    </w:tbl>
    <w:p/>
    <w:p>
      <w:pPr>
        <w:pStyle w:val="Heading1"/>
        <w:keepNext/>
        <w:spacing w:before="160" w:after="80" w:line="276" w:lineRule="auto"/>
      </w:pPr>
      <w:r>
        <w:t>8. Mise en place des tableaux de conformité</w:t>
      </w:r>
    </w:p>
    <w:p>
      <w:pPr>
        <w:spacing w:before="0" w:after="120" w:line="276" w:lineRule="auto"/>
      </w:pPr>
      <w:r>
        <w:t>Wazuh fournit nativement des groupes et mappings de conformité dans son ruleset pour PCI DSS, HIPAA, NIST 800-53, TSC et RGPD. Cela ne rend pas l'entreprise automatiquement conforme, mais cela permet de produire des preuves techniques, des vues de contrôle et des alertes utiles pour les audits et les plans d'action.</w:t>
      </w:r>
    </w:p>
    <w:p>
      <w:pPr>
        <w:pStyle w:val="MiniHeading"/>
        <w:spacing w:before="0" w:after="80" w:line="276" w:lineRule="auto"/>
      </w:pPr>
      <w:r>
        <w:t>Cadre de conformité et briques Wazuh</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41"/>
            <w:shd w:fill="1F6A52"/>
            <w:tcMar>
              <w:top w:w="100" w:type="dxa"/>
              <w:start w:w="100" w:type="dxa"/>
              <w:bottom w:w="100" w:type="dxa"/>
              <w:end w:w="100" w:type="dxa"/>
            </w:tcMar>
            <w:vAlign w:val="center"/>
          </w:tcPr>
          <w:p>
            <w:r>
              <w:rPr>
                <w:rFonts w:ascii="Arial" w:hAnsi="Arial"/>
                <w:b/>
                <w:color w:val="FFFFFF"/>
                <w:sz w:val="19"/>
              </w:rPr>
              <w:t>Référentiel</w:t>
            </w:r>
          </w:p>
        </w:tc>
        <w:tc>
          <w:tcPr>
            <w:tcW w:type="dxa" w:w="7030"/>
            <w:shd w:fill="1F6A52"/>
            <w:tcMar>
              <w:top w:w="100" w:type="dxa"/>
              <w:start w:w="100" w:type="dxa"/>
              <w:bottom w:w="100" w:type="dxa"/>
              <w:end w:w="100" w:type="dxa"/>
            </w:tcMar>
            <w:vAlign w:val="center"/>
          </w:tcPr>
          <w:p>
            <w:r>
              <w:rPr>
                <w:rFonts w:ascii="Arial" w:hAnsi="Arial"/>
                <w:b/>
                <w:color w:val="FFFFFF"/>
                <w:sz w:val="19"/>
              </w:rPr>
              <w:t>Briques Wazuh utiles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PCI DSS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FIM, logs d'accès, active response, dashboards conformité, revues d'alertes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RGPD</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Traçabilité, intégrité, revue des événements, durcissement, mesures de sécurité techniques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HIPAA</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Journalisation, intégrité, contrôle des accès, surveillance des changements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NIST 800-53</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SCA, logs, vulnérabilités, FIM, détection, réponse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TSC</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Sécurité, disponibilité, intégrité du traitement, confidentialité, privacy</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Positionnement à tenir en entreprise</w:t>
            </w:r>
          </w:p>
          <w:p>
            <w:pPr>
              <w:spacing w:before="0" w:after="80" w:line="276" w:lineRule="auto"/>
            </w:pPr>
            <w:r>
              <w:t>Wazuh aide à démontrer la mise en œuvre de contrôles techniques et à produire des éléments de preuve. En revanche, la conformité réelle dépend aussi des politiques, des procédures, des revues humaines, des responsabilités et du traitement des écarts.</w:t>
            </w:r>
          </w:p>
        </w:tc>
      </w:tr>
    </w:tbl>
    <w:p/>
    <w:p>
      <w:pPr>
        <w:pStyle w:val="MiniHeading"/>
        <w:spacing w:before="0" w:after="80" w:line="276" w:lineRule="auto"/>
      </w:pPr>
      <w:r>
        <w:t>Dashboards de conformité à livrer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721"/>
            <w:shd w:fill="1F6A52"/>
            <w:tcMar>
              <w:top w:w="100" w:type="dxa"/>
              <w:start w:w="100" w:type="dxa"/>
              <w:bottom w:w="100" w:type="dxa"/>
              <w:end w:w="100" w:type="dxa"/>
            </w:tcMar>
            <w:vAlign w:val="center"/>
          </w:tcPr>
          <w:p>
            <w:r>
              <w:rPr>
                <w:rFonts w:ascii="Arial" w:hAnsi="Arial"/>
                <w:b/>
                <w:color w:val="FFFFFF"/>
                <w:sz w:val="19"/>
              </w:rPr>
              <w:t>Dashboard</w:t>
            </w:r>
          </w:p>
        </w:tc>
        <w:tc>
          <w:tcPr>
            <w:tcW w:type="dxa" w:w="6350"/>
            <w:shd w:fill="1F6A52"/>
            <w:tcMar>
              <w:top w:w="100" w:type="dxa"/>
              <w:start w:w="100" w:type="dxa"/>
              <w:bottom w:w="100" w:type="dxa"/>
              <w:end w:w="100" w:type="dxa"/>
            </w:tcMar>
            <w:vAlign w:val="center"/>
          </w:tcPr>
          <w:p>
            <w:r>
              <w:rPr>
                <w:rFonts w:ascii="Arial" w:hAnsi="Arial"/>
                <w:b/>
                <w:color w:val="FFFFFF"/>
                <w:sz w:val="19"/>
              </w:rPr>
              <w:t>Contenu attendu</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Compliance - Vue exécutive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Nombre d'alertes par référentiel, évolution 30 jours, périmètres touchés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PCI DSS - Contrôles techniques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FIM, accès, invalid logins, revues d'événements, actifs sensibles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RGPD - Preuves techniques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Journalisation, durcissement, changements système, comptes et droits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NIST / TSC / HIPAA</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Panels par famille de contrôle, top écarts SCA, hôtes non conformes</w:t>
            </w:r>
          </w:p>
        </w:tc>
      </w:tr>
    </w:tbl>
    <w:p/>
    <w:p>
      <w:pPr>
        <w:spacing w:before="0" w:after="120" w:line="276" w:lineRule="auto"/>
      </w:pPr>
      <w:r>
        <w:rPr>
          <w:rFonts w:ascii="Arial" w:hAnsi="Arial"/>
          <w:color w:val="1F2933"/>
          <w:sz w:val="20"/>
        </w:rPr>
        <w:t>La logique de preuve doit rester simple: un dashboard exécutif, un dashboard technique par grand référentiel, un export périodique PDF et une liste d'actions correctives. L'auditeur doit voir en quelques minutes quels contrôles sont suivis, comment ils sont surveillés et où se situent les écarts.</w:t>
      </w:r>
    </w:p>
    <w:p>
      <w:pPr>
        <w:pStyle w:val="Heading1"/>
        <w:keepNext/>
        <w:spacing w:before="160" w:after="80" w:line="276" w:lineRule="auto"/>
      </w:pPr>
      <w:r>
        <w:t>9. Intégrations sécurité: Docker, AWS, GCP, GitHub, Office 365 et Microsoft Graph</w:t>
      </w:r>
    </w:p>
    <w:p>
      <w:pPr>
        <w:spacing w:before="0" w:after="120" w:line="276" w:lineRule="auto"/>
      </w:pPr>
      <w:r>
        <w:t>Les intégrations doivent être activées une à une, avec des secrets dédiés, un périmètre limité et une validation de la qualité des événements. Le principe à garder en tête: un module = un cas d'usage = une vérification dans Discover = une visualisation = éventuellement un monitor.</w:t>
      </w:r>
    </w:p>
    <w:p>
      <w:pPr>
        <w:pStyle w:val="MiniHeading"/>
        <w:spacing w:before="0" w:after="80" w:line="276" w:lineRule="auto"/>
      </w:pPr>
      <w:r>
        <w:t>Vue synthétique des intégrations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F6A52"/>
            <w:tcMar>
              <w:top w:w="100" w:type="dxa"/>
              <w:start w:w="100" w:type="dxa"/>
              <w:bottom w:w="100" w:type="dxa"/>
              <w:end w:w="100" w:type="dxa"/>
            </w:tcMar>
            <w:vAlign w:val="center"/>
          </w:tcPr>
          <w:p>
            <w:r>
              <w:rPr>
                <w:rFonts w:ascii="Arial" w:hAnsi="Arial"/>
                <w:b/>
                <w:color w:val="FFFFFF"/>
                <w:sz w:val="19"/>
              </w:rPr>
              <w:t>Intégration</w:t>
            </w:r>
          </w:p>
        </w:tc>
        <w:tc>
          <w:tcPr>
            <w:tcW w:type="dxa" w:w="2608"/>
            <w:shd w:fill="1F6A52"/>
            <w:tcMar>
              <w:top w:w="100" w:type="dxa"/>
              <w:start w:w="100" w:type="dxa"/>
              <w:bottom w:w="100" w:type="dxa"/>
              <w:end w:w="100" w:type="dxa"/>
            </w:tcMar>
            <w:vAlign w:val="center"/>
          </w:tcPr>
          <w:p>
            <w:r>
              <w:rPr>
                <w:rFonts w:ascii="Arial" w:hAnsi="Arial"/>
                <w:b/>
                <w:color w:val="FFFFFF"/>
                <w:sz w:val="19"/>
              </w:rPr>
              <w:t>Mode</w:t>
            </w:r>
          </w:p>
        </w:tc>
        <w:tc>
          <w:tcPr>
            <w:tcW w:type="dxa" w:w="4649"/>
            <w:shd w:fill="1F6A52"/>
            <w:tcMar>
              <w:top w:w="100" w:type="dxa"/>
              <w:start w:w="100" w:type="dxa"/>
              <w:bottom w:w="100" w:type="dxa"/>
              <w:end w:w="100" w:type="dxa"/>
            </w:tcMar>
            <w:vAlign w:val="center"/>
          </w:tcPr>
          <w:p>
            <w:r>
              <w:rPr>
                <w:rFonts w:ascii="Arial" w:hAnsi="Arial"/>
                <w:b/>
                <w:color w:val="FFFFFF"/>
                <w:sz w:val="19"/>
              </w:rPr>
              <w:t>But</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Docker</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Sur l'hôte Docker via agent</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Événements moteur et activité des conteneurs</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AWS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Via module aws-s3</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CloudTrail, VPC, Security Lake et autres services supportés</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GCP</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Via gcp-pubsub</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Cloud audit logs, DNS, VPC flow logs, firewall logs, LB logs</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GitHub</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Via module GitHub</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Audit log d'organisation</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Office 365</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Via module Office 365</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Audit logs Microsoft 365</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Microsoft Graph</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Via module ms-graph</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Microsoft 365 Defender, Entra ID, Intune, Purview, etc.</w:t>
            </w:r>
          </w:p>
        </w:tc>
      </w:tr>
    </w:tbl>
    <w:p/>
    <w:p>
      <w:pPr>
        <w:pStyle w:val="Heading2"/>
        <w:keepNext/>
        <w:spacing w:before="80" w:after="80" w:line="276" w:lineRule="auto"/>
      </w:pPr>
      <w:r>
        <w:t>9.1 Docker</w:t>
      </w:r>
    </w:p>
    <w:p>
      <w:pPr>
        <w:spacing w:before="0" w:after="120" w:line="276" w:lineRule="auto"/>
      </w:pPr>
      <w:r>
        <w:t>Pour Docker, installe l'agent Wazuh sur l'hôte, puis active le docker-listener. Cette brique te donne de la visibilité sur les événements du moteur Docker et sur les interactions avec les conteneurs.</w:t>
      </w:r>
    </w:p>
    <w:p>
      <w:pPr>
        <w:pStyle w:val="MiniHeading"/>
        <w:spacing w:before="0" w:after="60" w:line="276" w:lineRule="auto"/>
      </w:pPr>
      <w:r>
        <w:t>Exemple Docker listener</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&lt;wodle name="docker-listener"&gt;</w:t>
              <w:br/>
              <w:t xml:space="preserve">  &lt;disabled&gt;no&lt;/disabled&gt;</w:t>
              <w:br/>
              <w:t xml:space="preserve">  &lt;interval&gt;10m&lt;/interval&gt;</w:t>
              <w:br/>
              <w:t xml:space="preserve">  &lt;attempts&gt;5&lt;/attempts&gt;</w:t>
              <w:br/>
              <w:t xml:space="preserve">  &lt;run_on_start&gt;no&lt;/run_on_start&gt;</w:t>
              <w:br/>
              <w:t>&lt;/wodle&gt;</w:t>
            </w:r>
          </w:p>
        </w:tc>
      </w:tr>
    </w:tbl>
    <w:p/>
    <w:tbl>
      <w:tblPr>
        <w:tblW w:type="auto" w:w="0"/>
        <w:jc w:val="center"/>
        <w:tblLayout w:type="autofit"/>
        <w:tblLook w:firstColumn="1" w:firstRow="1" w:lastColumn="0" w:lastRow="0" w:noHBand="0" w:noVBand="1" w:val="04A0"/>
      </w:tblPr>
      <w:tblGrid>
        <w:gridCol w:w="9866"/>
      </w:tblGrid>
      <w:tr>
        <w:tc>
          <w:tcPr>
            <w:tcW w:type="dxa" w:w="9866"/>
            <w:shd w:fill="F4F7F9"/>
            <w:tcMar>
              <w:top w:w="120" w:type="dxa"/>
              <w:start w:w="120" w:type="dxa"/>
              <w:bottom w:w="120" w:type="dxa"/>
              <w:end w:w="120" w:type="dxa"/>
            </w:tcMar>
            <w:vAlign w:val="center"/>
          </w:tcPr>
          <w:p>
            <w:pPr>
              <w:pStyle w:val="MiniHeading"/>
              <w:spacing w:before="0" w:after="80" w:line="276" w:lineRule="auto"/>
            </w:pPr>
            <w:r>
              <w:t>Attention Docker</w:t>
            </w:r>
          </w:p>
          <w:p>
            <w:pPr>
              <w:spacing w:before="0" w:after="40" w:line="276" w:lineRule="auto"/>
              <w:ind w:left="170" w:hanging="113"/>
            </w:pPr>
            <w:r>
              <w:t>• Le module dépend de Python et de la librairie Docker côté agent si l'intégration est placée sur un agent.</w:t>
            </w:r>
          </w:p>
          <w:p>
            <w:pPr>
              <w:spacing w:before="0" w:after="40" w:line="276" w:lineRule="auto"/>
              <w:ind w:left="170" w:hanging="113"/>
            </w:pPr>
            <w:r>
              <w:t>• Réserve les dashboards Docker aux hôtes réellement conteneurisés.</w:t>
            </w:r>
          </w:p>
          <w:p>
            <w:pPr>
              <w:spacing w:before="0" w:after="40" w:line="276" w:lineRule="auto"/>
              <w:ind w:left="170" w:hanging="113"/>
            </w:pPr>
            <w:r>
              <w:t>• Corrèle les événements Docker avec les logs applicatifs des conteneurs quand c'est pertinent.</w:t>
            </w:r>
          </w:p>
        </w:tc>
      </w:tr>
    </w:tbl>
    <w:p/>
    <w:p>
      <w:pPr>
        <w:pStyle w:val="Heading2"/>
        <w:keepNext/>
        <w:spacing w:before="80" w:after="80" w:line="276" w:lineRule="auto"/>
      </w:pPr>
      <w:r>
        <w:t>9.2 AWS</w:t>
      </w:r>
    </w:p>
    <w:p>
      <w:pPr>
        <w:spacing w:before="0" w:after="120" w:line="276" w:lineRule="auto"/>
      </w:pPr>
      <w:r>
        <w:t>Pour AWS, démarre en général par CloudTrail. C'est la source la plus rentable pour la gouvernance, l'audit et la détection d'actions sensibles. En production, privilégie un mode d'authentification propre: rôle IAM, profil dédié ou rôle EC2 si le composant tourne sur AWS.</w:t>
      </w:r>
    </w:p>
    <w:p>
      <w:pPr>
        <w:pStyle w:val="MiniHeading"/>
        <w:spacing w:before="0" w:after="60" w:line="276" w:lineRule="auto"/>
      </w:pPr>
      <w:r>
        <w:t>Exemple AWS CloudTrail</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&lt;wodle name="aws-s3"&gt;</w:t>
              <w:br/>
              <w:t xml:space="preserve">  &lt;disabled&gt;no&lt;/disabled&gt;</w:t>
              <w:br/>
              <w:t xml:space="preserve">  &lt;interval&gt;10m&lt;/interval&gt;</w:t>
              <w:br/>
              <w:t xml:space="preserve">  &lt;run_on_start&gt;yes&lt;/run_on_start&gt;</w:t>
              <w:br/>
              <w:t xml:space="preserve">  &lt;skip_on_error&gt;yes&lt;/skip_on_error&gt;</w:t>
              <w:br/>
              <w:t xml:space="preserve">  &lt;bucket type="cloudtrail"&gt;</w:t>
              <w:br/>
              <w:t xml:space="preserve">    &lt;name&gt;&lt;WAZUH_AWS_BUCKET&gt;&lt;/name&gt;</w:t>
              <w:br/>
              <w:t xml:space="preserve">    &lt;aws_profile&gt;default&lt;/aws_profile&gt;</w:t>
              <w:br/>
              <w:t xml:space="preserve">  &lt;/bucket&gt;</w:t>
              <w:br/>
              <w:t>&lt;/wodle&gt;</w:t>
            </w:r>
          </w:p>
        </w:tc>
      </w:tr>
    </w:tbl>
    <w:p/>
    <w:p>
      <w:pPr>
        <w:spacing w:before="0" w:after="120" w:line="276" w:lineRule="auto"/>
      </w:pPr>
      <w:r>
        <w:rPr>
          <w:rFonts w:ascii="Arial" w:hAnsi="Arial"/>
          <w:color w:val="1F2933"/>
          <w:sz w:val="20"/>
        </w:rPr>
        <w:t>Si le déploiement est hébergé sur EC2, l'usage d'un rôle IAM d'instance est généralement préférable pour éviter la gestion manuelle de secrets. Security Lake peut être ajouté ensuite en cas de besoin de normalisation OCSF et de data lake sécurité plus avancé.</w:t>
      </w:r>
    </w:p>
    <w:p>
      <w:pPr>
        <w:pStyle w:val="Heading2"/>
        <w:keepNext/>
        <w:spacing w:before="80" w:after="80" w:line="276" w:lineRule="auto"/>
      </w:pPr>
      <w:r>
        <w:t>9.3 Google Cloud Platform</w:t>
      </w:r>
    </w:p>
    <w:p>
      <w:pPr>
        <w:spacing w:before="0" w:after="120" w:line="276" w:lineRule="auto"/>
      </w:pPr>
      <w:r>
        <w:t>Pour GCP, la logique standard consiste à publier les logs intéressants dans Pub/Sub via des sinks, puis à laisser Wazuh les récupérer via sa souscription. Commence par les Cloud audit logs et ajoute ensuite les VPC Flow Logs et autres flux à forte valeur.</w:t>
      </w:r>
    </w:p>
    <w:p>
      <w:pPr>
        <w:pStyle w:val="MiniHeading"/>
        <w:spacing w:before="0" w:after="60" w:line="276" w:lineRule="auto"/>
      </w:pPr>
      <w:r>
        <w:t>Exemple GCP Pub/Sub</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&lt;gcp-pubsub&gt;</w:t>
              <w:br/>
              <w:t xml:space="preserve">  &lt;pull_on_start&gt;yes&lt;/pull_on_start&gt;</w:t>
              <w:br/>
              <w:t xml:space="preserve">  &lt;interval&gt;1m&lt;/interval&gt;</w:t>
              <w:br/>
              <w:t xml:space="preserve">  &lt;project_id&gt;&lt;YOUR_PROJECT_ID&gt;&lt;/project_id&gt;</w:t>
              <w:br/>
              <w:t xml:space="preserve">  &lt;subscription_name&gt;&lt;YOUR_SUBSCRIPTION_ID&gt;&lt;/subscription_name&gt;</w:t>
              <w:br/>
              <w:t xml:space="preserve">  &lt;credentials_file&gt;/var/ossec/wodles/gcloud/&lt;AUTHENTICATION_FILE_NAME&gt;.json&lt;/credentials_file&gt;</w:t>
              <w:br/>
              <w:t>&lt;/gcp-pubsub&gt;</w:t>
            </w:r>
          </w:p>
        </w:tc>
      </w:tr>
    </w:tbl>
    <w:p/>
    <w:p>
      <w:pPr>
        <w:pStyle w:val="Heading2"/>
        <w:keepNext/>
        <w:spacing w:before="80" w:after="80" w:line="276" w:lineRule="auto"/>
      </w:pPr>
      <w:r>
        <w:t>9.4 GitHub</w:t>
      </w:r>
    </w:p>
    <w:p>
      <w:pPr>
        <w:spacing w:before="0" w:after="120" w:line="276" w:lineRule="auto"/>
      </w:pPr>
      <w:r>
        <w:t>GitHub est très utile pour surveiller les changements de permissions, les modifications de settings, l'ajout ou la suppression de membres, et les événements git/web. L'intégration s'appuie sur l'audit log d'une organisation GitHub Enterprise Cloud.</w:t>
      </w:r>
    </w:p>
    <w:p>
      <w:pPr>
        <w:pStyle w:val="MiniHeading"/>
        <w:spacing w:before="0" w:after="60" w:line="276" w:lineRule="auto"/>
      </w:pPr>
      <w:r>
        <w:t>Exemple GitHub audit log</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&lt;github&gt;</w:t>
              <w:br/>
              <w:t xml:space="preserve">  &lt;enabled&gt;yes&lt;/enabled&gt;</w:t>
              <w:br/>
              <w:t xml:space="preserve">  &lt;interval&gt;1m&lt;/interval&gt;</w:t>
              <w:br/>
              <w:t xml:space="preserve">  &lt;time_delay&gt;1m&lt;/time_delay&gt;</w:t>
              <w:br/>
              <w:t xml:space="preserve">  &lt;curl_max_size&gt;1M&lt;/curl_max_size&gt;</w:t>
              <w:br/>
              <w:t xml:space="preserve">  &lt;only_future_events&gt;yes&lt;/only_future_events&gt;</w:t>
              <w:br/>
              <w:t xml:space="preserve">  &lt;api_auth&gt;</w:t>
              <w:br/>
              <w:t xml:space="preserve">    &lt;org_name&gt;&lt;ORG_NAME&gt;&lt;/org_name&gt;</w:t>
              <w:br/>
              <w:t xml:space="preserve">    &lt;api_token&gt;&lt;API_TOKEN&gt;&lt;/api_token&gt;</w:t>
              <w:br/>
              <w:t xml:space="preserve">  &lt;/api_auth&gt;</w:t>
              <w:br/>
              <w:t xml:space="preserve">  &lt;api_parameters&gt;</w:t>
              <w:br/>
              <w:t xml:space="preserve">    &lt;event_type&gt;all&lt;/event_type&gt;</w:t>
              <w:br/>
              <w:t xml:space="preserve">  &lt;/api_parameters&gt;</w:t>
              <w:br/>
              <w:t>&lt;/github&gt;</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Point important GitHub</w:t>
            </w:r>
          </w:p>
          <w:p>
            <w:pPr>
              <w:spacing w:before="0" w:after="80" w:line="276" w:lineRule="auto"/>
            </w:pPr>
            <w:r>
              <w:t>Le token doit être dédié, restreint et documenté. En phase de démarrage, collecte les événements 'all' puis réduis si nécessaire après analyse du bruit.</w:t>
            </w:r>
          </w:p>
        </w:tc>
      </w:tr>
    </w:tbl>
    <w:p/>
    <w:p>
      <w:pPr>
        <w:pStyle w:val="Heading2"/>
        <w:keepNext/>
        <w:spacing w:before="80" w:after="80" w:line="276" w:lineRule="auto"/>
      </w:pPr>
      <w:r>
        <w:t>9.5 Office 365</w:t>
      </w:r>
    </w:p>
    <w:p>
      <w:pPr>
        <w:spacing w:before="0" w:after="120" w:line="276" w:lineRule="auto"/>
      </w:pPr>
      <w:r>
        <w:t>Le module Office 365 permet de collecter les audit logs Microsoft 365. L'approche la plus propre consiste à limiter les subscriptions aux contenus utiles et à prévoir un dashboard dédié aux actions administratives, à l'identité et aux workloads les plus sensibles.</w:t>
      </w:r>
    </w:p>
    <w:p>
      <w:pPr>
        <w:pStyle w:val="MiniHeading"/>
        <w:spacing w:before="0" w:after="60" w:line="276" w:lineRule="auto"/>
      </w:pPr>
      <w:r>
        <w:t>Exemple Office 365</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&lt;office365&gt;</w:t>
              <w:br/>
              <w:t xml:space="preserve">  &lt;enabled&gt;yes&lt;/enabled&gt;</w:t>
              <w:br/>
              <w:t xml:space="preserve">  &lt;interval&gt;1m&lt;/interval&gt;</w:t>
              <w:br/>
              <w:t xml:space="preserve">  &lt;curl_max_size&gt;1M&lt;/curl_max_size&gt;</w:t>
              <w:br/>
              <w:t xml:space="preserve">  &lt;only_future_events&gt;yes&lt;/only_future_events&gt;</w:t>
              <w:br/>
              <w:t xml:space="preserve">  &lt;api_auth&gt;</w:t>
              <w:br/>
              <w:t xml:space="preserve">    &lt;tenant_id&gt;your_tenant_id&lt;/tenant_id&gt;</w:t>
              <w:br/>
              <w:t xml:space="preserve">    &lt;client_id&gt;your_client_id&lt;/client_id&gt;</w:t>
              <w:br/>
              <w:t xml:space="preserve">    &lt;client_secret&gt;your_client_secret&lt;/client_secret&gt;</w:t>
              <w:br/>
              <w:t xml:space="preserve">    &lt;api_type&gt;commercial&lt;/api_type&gt;</w:t>
              <w:br/>
              <w:t xml:space="preserve">  &lt;/api_auth&gt;</w:t>
              <w:br/>
              <w:t xml:space="preserve">  &lt;subscriptions&gt;</w:t>
              <w:br/>
              <w:t xml:space="preserve">    &lt;subscription&gt;Audit.AzureActiveDirectory&lt;/subscription&gt;</w:t>
              <w:br/>
              <w:t xml:space="preserve">    &lt;subscription&gt;Audit.General&lt;/subscription&gt;</w:t>
              <w:br/>
              <w:t xml:space="preserve">  &lt;/subscriptions&gt;</w:t>
              <w:br/>
              <w:t>&lt;/office365&gt;</w:t>
            </w:r>
          </w:p>
        </w:tc>
      </w:tr>
    </w:tbl>
    <w:p/>
    <w:p>
      <w:pPr>
        <w:pStyle w:val="Heading2"/>
        <w:keepNext/>
        <w:spacing w:before="80" w:after="80" w:line="276" w:lineRule="auto"/>
      </w:pPr>
      <w:r>
        <w:t>9.6 Microsoft Graph</w:t>
      </w:r>
    </w:p>
    <w:p>
      <w:pPr>
        <w:spacing w:before="0" w:after="120" w:line="276" w:lineRule="auto"/>
      </w:pPr>
      <w:r>
        <w:t>Le module Microsoft Graph apporte une vue de sécurité très intéressante sur les services Microsoft. Il peut couvrir Microsoft 365 Defender, Entra ID, Defender for Endpoint, Defender for Office 365, Purview eDiscovery, DLP et d'autres ressources selon le périmètre configuré.</w:t>
      </w:r>
    </w:p>
    <w:p>
      <w:pPr>
        <w:pStyle w:val="MiniHeading"/>
        <w:spacing w:before="0" w:after="60" w:line="276" w:lineRule="auto"/>
      </w:pPr>
      <w:r>
        <w:t>Exemple Microsoft Graph</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&lt;ms-graph&gt;</w:t>
              <w:br/>
              <w:t xml:space="preserve">  &lt;enabled&gt;yes&lt;/enabled&gt;</w:t>
              <w:br/>
              <w:t xml:space="preserve">  &lt;only_future_events&gt;yes&lt;/only_future_events&gt;</w:t>
              <w:br/>
              <w:t xml:space="preserve">  &lt;curl_max_size&gt;10M&lt;/curl_max_size&gt;</w:t>
              <w:br/>
              <w:t xml:space="preserve">  &lt;run_on_start&gt;yes&lt;/run_on_start&gt;</w:t>
              <w:br/>
              <w:t xml:space="preserve">  &lt;interval&gt;5m&lt;/interval&gt;</w:t>
              <w:br/>
              <w:t xml:space="preserve">  &lt;version&gt;v1.0&lt;/version&gt;</w:t>
              <w:br/>
              <w:t xml:space="preserve">  &lt;api_auth&gt;</w:t>
              <w:br/>
              <w:t xml:space="preserve">    &lt;client_id&gt;your_client_id&lt;/client_id&gt;</w:t>
              <w:br/>
              <w:t xml:space="preserve">    &lt;tenant_id&gt;your_tenant_id&lt;/tenant_id&gt;</w:t>
              <w:br/>
              <w:t xml:space="preserve">    &lt;secret_value&gt;your_secret_value&lt;/secret_value&gt;</w:t>
              <w:br/>
              <w:t xml:space="preserve">    &lt;api_type&gt;global&lt;/api_type&gt;</w:t>
              <w:br/>
              <w:t xml:space="preserve">  &lt;/api_auth&gt;</w:t>
              <w:br/>
              <w:t xml:space="preserve">  &lt;resource&gt;</w:t>
              <w:br/>
              <w:t xml:space="preserve">    &lt;name&gt;security&lt;/name&gt;</w:t>
              <w:br/>
              <w:t xml:space="preserve">    &lt;relationship&gt;alerts_v2&lt;/relationship&gt;</w:t>
              <w:br/>
              <w:t xml:space="preserve">    &lt;relationship&gt;incidents&lt;/relationship&gt;</w:t>
              <w:br/>
              <w:t xml:space="preserve">  &lt;/resource&gt;</w:t>
              <w:br/>
              <w:t xml:space="preserve">  &lt;resource&gt;</w:t>
              <w:br/>
              <w:t xml:space="preserve">    &lt;name&gt;auditLogs&lt;/name&gt;</w:t>
              <w:br/>
              <w:t xml:space="preserve">    &lt;relationship&gt;signIns&lt;/relationship&gt;</w:t>
              <w:br/>
              <w:t xml:space="preserve">  &lt;/resource&gt;</w:t>
              <w:br/>
              <w:t xml:space="preserve">  &lt;resource&gt;</w:t>
              <w:br/>
              <w:t xml:space="preserve">    &lt;name&gt;deviceManagement&lt;/name&gt;</w:t>
              <w:br/>
              <w:t xml:space="preserve">    &lt;relationship&gt;auditEvents&lt;/relationship&gt;</w:t>
              <w:br/>
              <w:t xml:space="preserve">  &lt;/resource&gt;</w:t>
              <w:br/>
              <w:t xml:space="preserve">  &lt;resource&gt;</w:t>
              <w:br/>
              <w:t xml:space="preserve">    &lt;name&gt;identityProtection&lt;/name&gt;</w:t>
              <w:br/>
              <w:t xml:space="preserve">    &lt;relationship&gt;riskDetections&lt;/relationship&gt;</w:t>
              <w:br/>
              <w:t xml:space="preserve">  &lt;/resource&gt;</w:t>
              <w:br/>
              <w:t>&lt;/ms-graph&gt;</w:t>
            </w:r>
          </w:p>
        </w:tc>
      </w:tr>
    </w:tbl>
    <w:p/>
    <w:tbl>
      <w:tblPr>
        <w:tblW w:type="auto" w:w="0"/>
        <w:jc w:val="center"/>
        <w:tblLayout w:type="autofit"/>
        <w:tblLook w:firstColumn="1" w:firstRow="1" w:lastColumn="0" w:lastRow="0" w:noHBand="0" w:noVBand="1" w:val="04A0"/>
      </w:tblPr>
      <w:tblGrid>
        <w:gridCol w:w="9866"/>
      </w:tblGrid>
      <w:tr>
        <w:tc>
          <w:tcPr>
            <w:tcW w:type="dxa" w:w="9866"/>
            <w:shd w:fill="FFF2CC"/>
            <w:tcMar>
              <w:top w:w="120" w:type="dxa"/>
              <w:start w:w="120" w:type="dxa"/>
              <w:bottom w:w="120" w:type="dxa"/>
              <w:end w:w="120" w:type="dxa"/>
            </w:tcMar>
            <w:vAlign w:val="center"/>
          </w:tcPr>
          <w:p>
            <w:pPr>
              <w:pStyle w:val="MiniHeading"/>
              <w:spacing w:before="0" w:after="80" w:line="276" w:lineRule="auto"/>
            </w:pPr>
            <w:r>
              <w:t>Ordre conseillé pour Microsoft</w:t>
            </w:r>
          </w:p>
          <w:p>
            <w:pPr>
              <w:spacing w:before="0" w:after="40" w:line="276" w:lineRule="auto"/>
              <w:ind w:left="170" w:hanging="113"/>
            </w:pPr>
            <w:r>
              <w:t>• Démarrer par sign-ins, alerts_v2, incidents et riskDetections.</w:t>
            </w:r>
          </w:p>
          <w:p>
            <w:pPr>
              <w:spacing w:before="0" w:after="40" w:line="276" w:lineRule="auto"/>
              <w:ind w:left="170" w:hanging="113"/>
            </w:pPr>
            <w:r>
              <w:t>• Ajouter Intune / auditEvents si tu as un vrai besoin d'exploitation poste.</w:t>
            </w:r>
          </w:p>
          <w:p>
            <w:pPr>
              <w:spacing w:before="0" w:after="40" w:line="276" w:lineRule="auto"/>
              <w:ind w:left="170" w:hanging="113"/>
            </w:pPr>
            <w:r>
              <w:t>• Ne pas ouvrir trop de ressources dès le début: valide d'abord la qualité et le volume.</w:t>
            </w:r>
          </w:p>
        </w:tc>
      </w:tr>
    </w:tbl>
    <w:p/>
    <w:p>
      <w:pPr>
        <w:pStyle w:val="Heading1"/>
        <w:keepNext/>
        <w:spacing w:before="160" w:after="80" w:line="276" w:lineRule="auto"/>
      </w:pPr>
      <w:r>
        <w:t>10. Amélioration des règles de détection et méthode de tuning</w:t>
      </w:r>
    </w:p>
    <w:p>
      <w:pPr>
        <w:spacing w:before="0" w:after="120" w:line="276" w:lineRule="auto"/>
      </w:pPr>
      <w:r>
        <w:rPr>
          <w:rFonts w:ascii="Arial" w:hAnsi="Arial"/>
          <w:color w:val="1F2933"/>
          <w:sz w:val="20"/>
        </w:rPr>
        <w:t>Le tuning des règles est l'un des points qui fera réellement monter la valeur du projet. L'objectif n'est pas de produire plus d'alertes, mais des alertes plus utiles. Toute amélioration doit partir d'un usage réel: cas d'investigation, besoin conformité, scénario d'attaque, dérive opérationnelle ou demande d'équipe.</w:t>
      </w:r>
    </w:p>
    <w:p>
      <w:pPr>
        <w:pStyle w:val="MiniHeading"/>
        <w:spacing w:before="0" w:after="80" w:line="276" w:lineRule="auto"/>
      </w:pPr>
      <w:r>
        <w:t>Cycle d'amélioration recommandé</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shd w:fill="1F6A52"/>
            <w:tcMar>
              <w:top w:w="100" w:type="dxa"/>
              <w:start w:w="100" w:type="dxa"/>
              <w:bottom w:w="100" w:type="dxa"/>
              <w:end w:w="100" w:type="dxa"/>
            </w:tcMar>
            <w:vAlign w:val="center"/>
          </w:tcPr>
          <w:p>
            <w:r>
              <w:rPr>
                <w:rFonts w:ascii="Arial" w:hAnsi="Arial"/>
                <w:b/>
                <w:color w:val="FFFFFF"/>
                <w:sz w:val="19"/>
              </w:rPr>
              <w:t>Étape</w:t>
            </w:r>
          </w:p>
        </w:tc>
        <w:tc>
          <w:tcPr>
            <w:tcW w:type="dxa" w:w="7257"/>
            <w:shd w:fill="1F6A52"/>
            <w:tcMar>
              <w:top w:w="100" w:type="dxa"/>
              <w:start w:w="100" w:type="dxa"/>
              <w:bottom w:w="100" w:type="dxa"/>
              <w:end w:w="100" w:type="dxa"/>
            </w:tcMar>
            <w:vAlign w:val="center"/>
          </w:tcPr>
          <w:p>
            <w:r>
              <w:rPr>
                <w:rFonts w:ascii="Arial" w:hAnsi="Arial"/>
                <w:b/>
                <w:color w:val="FFFFFF"/>
                <w:sz w:val="19"/>
              </w:rPr>
              <w:t>Pratique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1. Observer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Identifier le bruit, les faux positifs, les angles morts et les règles peu utiles</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2. Qualifier</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Définir le besoin métier / sécurité et la population d'actifs concernée</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3. Ajuster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Modifier niveau, fréquence, groupe, corrélation ou créer une règle locale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4. Tester</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Utiliser wazuh-logtest et un jeu d'événements représentatif</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5. Déployer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Versionner le changement, documenter, valider en pré-prod puis en prod</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6. Mesurer</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Suivre faux positifs, couverture, réactivité et impact sur les équipes</w:t>
            </w:r>
          </w:p>
        </w:tc>
      </w:tr>
    </w:tbl>
    <w:p/>
    <w:p>
      <w:pPr>
        <w:spacing w:before="0" w:after="120" w:line="276" w:lineRule="auto"/>
      </w:pPr>
      <w:r>
        <w:t>Les règles locales doivent être placées dans /var/ossec/etc/rules/local_rules.xml pour les petits ajustements, ou dans des fichiers dédiés sous /var/ossec/etc/rules/ pour les développements plus structurés. Les identifiants de règles personnalisées doivent rester dans la plage 100000 à 120000.</w:t>
      </w:r>
    </w:p>
    <w:p>
      <w:pPr>
        <w:pStyle w:val="MiniHeading"/>
        <w:spacing w:before="0" w:after="60" w:line="276" w:lineRule="auto"/>
      </w:pPr>
      <w:r>
        <w:t>Exemple minimal de règle locale</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&lt;group name="custom_rules_example,"&gt;</w:t>
              <w:br/>
              <w:t xml:space="preserve">  &lt;rule id="100010" level="0"&gt;</w:t>
              <w:br/>
              <w:t xml:space="preserve">    &lt;program_name&gt;example&lt;/program_name&gt;</w:t>
              <w:br/>
              <w:t xml:space="preserve">    &lt;description&gt;User logged&lt;/description&gt;</w:t>
              <w:br/>
              <w:t xml:space="preserve">  &lt;/rule&gt;</w:t>
              <w:br/>
              <w:t>&lt;/group&gt;</w:t>
            </w:r>
          </w:p>
        </w:tc>
      </w:tr>
    </w:tbl>
    <w:p/>
    <w:p>
      <w:pPr>
        <w:spacing w:before="0" w:after="120" w:line="276" w:lineRule="auto"/>
      </w:pPr>
      <w:r>
        <w:t>Pour modifier une règle par défaut sans perdre le changement lors d'une mise à jour, copie la règle dans local_rules.xml et ajoute overwrite="yes". Ne modifie pas directement les fichiers du ruleset livré par Wazuh.</w:t>
      </w:r>
    </w:p>
    <w:p>
      <w:pPr>
        <w:pStyle w:val="MiniHeading"/>
        <w:spacing w:before="0" w:after="60" w:line="276" w:lineRule="auto"/>
      </w:pPr>
      <w:r>
        <w:t>Exemple d'override propre d'une règle par défaut</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&lt;group name="syslog,sshd,"&gt;</w:t>
              <w:br/>
              <w:t xml:space="preserve">  &lt;rule id="5710" level="10" overwrite="yes"&gt;</w:t>
              <w:br/>
              <w:t xml:space="preserve">    &lt;if_sid&gt;5700&lt;/if_sid&gt;</w:t>
              <w:br/>
              <w:t xml:space="preserve">    &lt;match&gt;illegal user|invalid user&lt;/match&gt;</w:t>
              <w:br/>
              <w:t xml:space="preserve">    &lt;description&gt;sshd: Attempt to login using a non-existent user&lt;/description&gt;</w:t>
              <w:br/>
              <w:t xml:space="preserve">    &lt;mitre&gt;</w:t>
              <w:br/>
              <w:t xml:space="preserve">      &lt;id&gt;T1110&lt;/id&gt;</w:t>
              <w:br/>
              <w:t xml:space="preserve">    &lt;/mitre&gt;</w:t>
              <w:br/>
              <w:t xml:space="preserve">    &lt;group&gt;invalid_login,authentication_failed,pci_dss_10.2.4,pci_dss_10.2.5,gdpr_IV_32.2,hipaa_164.312.b,nist_800_53_AC.7,tsc_CC7.3,&lt;/group&gt;</w:t>
              <w:br/>
              <w:t xml:space="preserve">  &lt;/rule&gt;</w:t>
              <w:br/>
              <w:t>&lt;/group&gt;</w:t>
            </w:r>
          </w:p>
        </w:tc>
      </w:tr>
    </w:tbl>
    <w:p/>
    <w:p>
      <w:pPr>
        <w:spacing w:before="0" w:after="120" w:line="276" w:lineRule="auto"/>
      </w:pPr>
      <w:r>
        <w:t>Pour les logs spécifiques à l'entreprise, ajoute des décodeurs dans /var/ossec/etc/decoders/local_decoder.xml ou dans un fichier dédié sous /var/ossec/etc/decoders/.</w:t>
      </w:r>
    </w:p>
    <w:p>
      <w:pPr>
        <w:pStyle w:val="MiniHeading"/>
        <w:spacing w:before="0" w:after="60" w:line="276" w:lineRule="auto"/>
      </w:pPr>
      <w:r>
        <w:t>Exemple de décodeur local</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&lt;decoder name="example"&gt;</w:t>
              <w:br/>
              <w:t xml:space="preserve">  &lt;program_name&gt;^example&lt;/program_name&gt;</w:t>
              <w:br/>
              <w:t>&lt;/decoder&gt;</w:t>
              <w:br/>
              <w:br/>
              <w:t>&lt;decoder name="example"&gt;</w:t>
              <w:br/>
              <w:t xml:space="preserve">  &lt;parent&gt;example&lt;/parent&gt;</w:t>
              <w:br/>
              <w:t xml:space="preserve">  &lt;regex&gt;User '(\w+)' logged from '(\d+.\d+.\d+.\d+)'&lt;/regex&gt;</w:t>
              <w:br/>
              <w:t xml:space="preserve">  &lt;order&gt;user, srcip&lt;/order&gt;</w:t>
              <w:br/>
              <w:t>&lt;/decoder&gt;</w:t>
            </w:r>
          </w:p>
        </w:tc>
      </w:tr>
    </w:tbl>
    <w:p/>
    <w:p>
      <w:pPr>
        <w:pStyle w:val="MiniHeading"/>
        <w:spacing w:before="0" w:after="60" w:line="276" w:lineRule="auto"/>
      </w:pPr>
      <w:r>
        <w:t>Commandes de test et validation</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 Tests de validation utiles</w:t>
              <w:br/>
              <w:t>/var/ossec/bin/wazuh-logtest</w:t>
              <w:br/>
              <w:t>/var/ossec/bin/wazuh-syscheckd -t</w:t>
              <w:br/>
              <w:t>/var/ossec/bin/wazuh-modulesd -t</w:t>
              <w:br/>
              <w:t>/var/ossec/bin/wazuh-analysisd -t</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Méthode de tuning à adopter</w:t>
            </w:r>
          </w:p>
          <w:p>
            <w:pPr>
              <w:spacing w:before="0" w:after="40" w:line="276" w:lineRule="auto"/>
              <w:ind w:left="170" w:hanging="113"/>
            </w:pPr>
            <w:r>
              <w:t>• Monter les niveaux des alertes réellement critiques plutôt que créer trop de doublons.</w:t>
            </w:r>
          </w:p>
          <w:p>
            <w:pPr>
              <w:spacing w:before="0" w:after="40" w:line="276" w:lineRule="auto"/>
              <w:ind w:left="170" w:hanging="113"/>
            </w:pPr>
            <w:r>
              <w:t>• Créer des dashboards de bruit pour voir quelles règles saturent l'exploitation.</w:t>
            </w:r>
          </w:p>
          <w:p>
            <w:pPr>
              <w:spacing w:before="0" w:after="40" w:line="276" w:lineRule="auto"/>
              <w:ind w:left="170" w:hanging="113"/>
            </w:pPr>
            <w:r>
              <w:t>• Traiter en priorité les règles qui déclenchent souvent sans action derrière.</w:t>
            </w:r>
          </w:p>
          <w:p>
            <w:pPr>
              <w:spacing w:before="0" w:after="40" w:line="276" w:lineRule="auto"/>
              <w:ind w:left="170" w:hanging="113"/>
            </w:pPr>
            <w:r>
              <w:t>• Conserver un journal de tuning: date, règle, raison, résultat attendu, validation.</w:t>
            </w:r>
          </w:p>
        </w:tc>
      </w:tr>
    </w:tbl>
    <w:p/>
    <w:p>
      <w:pPr>
        <w:pStyle w:val="Heading1"/>
        <w:keepNext/>
        <w:spacing w:before="160" w:after="80" w:line="276" w:lineRule="auto"/>
      </w:pPr>
      <w:r>
        <w:t>11. Stockage, rétention, performance et Index Lifecycle Management</w:t>
      </w:r>
    </w:p>
    <w:p>
      <w:pPr>
        <w:spacing w:before="0" w:after="120" w:line="276" w:lineRule="auto"/>
      </w:pPr>
      <w:r>
        <w:t>Un déploiement Wazuh peut rapidement consommer du stockage si l'indexation est ouverte sans stratégie. Il faut donc décider explicitement quoi conserver, combien de temps et pour quel usage.</w:t>
      </w:r>
    </w:p>
    <w:p>
      <w:pPr>
        <w:pStyle w:val="MiniHeading"/>
        <w:spacing w:before="0" w:after="80" w:line="276" w:lineRule="auto"/>
      </w:pPr>
      <w:r>
        <w:t>Exemple de politique de rétention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1F6A52"/>
            <w:tcMar>
              <w:top w:w="100" w:type="dxa"/>
              <w:start w:w="100" w:type="dxa"/>
              <w:bottom w:w="100" w:type="dxa"/>
              <w:end w:w="100" w:type="dxa"/>
            </w:tcMar>
            <w:vAlign w:val="center"/>
          </w:tcPr>
          <w:p>
            <w:r>
              <w:rPr>
                <w:rFonts w:ascii="Arial" w:hAnsi="Arial"/>
                <w:b/>
                <w:color w:val="FFFFFF"/>
                <w:sz w:val="19"/>
              </w:rPr>
              <w:t>Index</w:t>
            </w:r>
          </w:p>
        </w:tc>
        <w:tc>
          <w:tcPr>
            <w:tcW w:type="dxa" w:w="1928"/>
            <w:shd w:fill="1F6A52"/>
            <w:tcMar>
              <w:top w:w="100" w:type="dxa"/>
              <w:start w:w="100" w:type="dxa"/>
              <w:bottom w:w="100" w:type="dxa"/>
              <w:end w:w="100" w:type="dxa"/>
            </w:tcMar>
            <w:vAlign w:val="center"/>
          </w:tcPr>
          <w:p>
            <w:r>
              <w:rPr>
                <w:rFonts w:ascii="Arial" w:hAnsi="Arial"/>
                <w:b/>
                <w:color w:val="FFFFFF"/>
                <w:sz w:val="19"/>
              </w:rPr>
              <w:t>Rétention cible</w:t>
            </w:r>
          </w:p>
        </w:tc>
        <w:tc>
          <w:tcPr>
            <w:tcW w:type="dxa" w:w="4422"/>
            <w:shd w:fill="1F6A52"/>
            <w:tcMar>
              <w:top w:w="100" w:type="dxa"/>
              <w:start w:w="100" w:type="dxa"/>
              <w:bottom w:w="100" w:type="dxa"/>
              <w:end w:w="100" w:type="dxa"/>
            </w:tcMar>
            <w:vAlign w:val="center"/>
          </w:tcPr>
          <w:p>
            <w:r>
              <w:rPr>
                <w:rFonts w:ascii="Arial" w:hAnsi="Arial"/>
                <w:b/>
                <w:color w:val="FFFFFF"/>
                <w:sz w:val="19"/>
              </w:rPr>
              <w:t>Usage</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wazuh-alerts-*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180 jours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Base SOC et conformité courte/moyenne durée</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wazuh-archives-*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30 à 90 jours selon besoin</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Forensic et audit; coûteux si activé massivement</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wazuh-monitoring-*</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30 à 90 jours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Santé agents et suivi opérationnel</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wazuh-statistics-*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30 jours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Diagnostic plateforme</w:t>
            </w:r>
          </w:p>
        </w:tc>
      </w:tr>
      <w:tr>
        <w:tc>
          <w:tcPr>
            <w:tcW w:type="dxa" w:w="3289"/>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wazuh-states-vulnerabilities-*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180 jours ou plus</w:t>
            </w:r>
          </w:p>
        </w:tc>
        <w:tc>
          <w:tcPr>
            <w:tcW w:type="dxa" w:w="3289"/>
            <w:tcMar>
              <w:top w:w="80" w:type="dxa"/>
              <w:start w:w="90" w:type="dxa"/>
              <w:bottom w:w="80" w:type="dxa"/>
              <w:end w:w="90" w:type="dxa"/>
            </w:tcMar>
            <w:vAlign w:val="center"/>
            <w:shd w:fill="F4F7F9"/>
          </w:tcPr>
          <w:p>
            <w:pPr>
              <w:spacing w:before="0" w:after="40" w:line="259" w:lineRule="auto"/>
            </w:pPr>
            <w:r>
              <w:rPr>
                <w:rFonts w:ascii="Arial" w:hAnsi="Arial"/>
                <w:color w:val="1F2933"/>
                <w:sz w:val="18"/>
              </w:rPr>
              <w:t>Suivi de remédiation</w:t>
            </w:r>
          </w:p>
        </w:tc>
      </w:tr>
      <w:tr>
        <w:tc>
          <w:tcPr>
            <w:tcW w:type="dxa" w:w="3289"/>
            <w:tcMar>
              <w:top w:w="80" w:type="dxa"/>
              <w:start w:w="90" w:type="dxa"/>
              <w:bottom w:w="80" w:type="dxa"/>
              <w:end w:w="90" w:type="dxa"/>
            </w:tcMar>
            <w:vAlign w:val="center"/>
          </w:tcPr>
          <w:p>
            <w:pPr>
              <w:spacing w:before="0" w:after="40" w:line="259" w:lineRule="auto"/>
            </w:pPr>
            <w:r>
              <w:rPr>
                <w:rFonts w:ascii="Arial" w:hAnsi="Arial"/>
                <w:b/>
                <w:color w:val="1F2933"/>
                <w:sz w:val="18"/>
              </w:rPr>
              <w:t>wazuh-states-inventory-*</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90 à 180 jours</w:t>
            </w:r>
          </w:p>
        </w:tc>
        <w:tc>
          <w:tcPr>
            <w:tcW w:type="dxa" w:w="3289"/>
            <w:tcMar>
              <w:top w:w="80" w:type="dxa"/>
              <w:start w:w="90" w:type="dxa"/>
              <w:bottom w:w="80" w:type="dxa"/>
              <w:end w:w="90" w:type="dxa"/>
            </w:tcMar>
            <w:vAlign w:val="center"/>
          </w:tcPr>
          <w:p>
            <w:pPr>
              <w:spacing w:before="0" w:after="40" w:line="259" w:lineRule="auto"/>
            </w:pPr>
            <w:r>
              <w:rPr>
                <w:rFonts w:ascii="Arial" w:hAnsi="Arial"/>
                <w:color w:val="1F2933"/>
                <w:sz w:val="18"/>
              </w:rPr>
              <w:t>Hygiène IT et preuves d'état</w:t>
            </w:r>
          </w:p>
        </w:tc>
      </w:tr>
    </w:tbl>
    <w:p/>
    <w:p>
      <w:pPr>
        <w:spacing w:before="0" w:after="120" w:line="276" w:lineRule="auto"/>
      </w:pPr>
      <w:r>
        <w:t>Utilise ISM / Index Lifecycle Management pour automatiser les rollovers et suppressions. Sans politique explicite, le stockage finit par devenir une dette opérationnelle. Le plus dangereux est d'activer wazuh-archives-* sans stratégie de rétention.</w:t>
      </w:r>
    </w:p>
    <w:p>
      <w:pPr>
        <w:spacing w:before="0" w:after="80" w:line="276" w:lineRule="auto"/>
        <w:ind w:left="340" w:hanging="170"/>
      </w:pPr>
      <w:r>
        <w:t>• Activer le memory lock sur l'indexer pour éviter le swap.</w:t>
      </w:r>
    </w:p>
    <w:p>
      <w:pPr>
        <w:spacing w:before="0" w:after="80" w:line="276" w:lineRule="auto"/>
        <w:ind w:left="340" w:hanging="170"/>
      </w:pPr>
      <w:r>
        <w:t>• Fixer la heap JVM à la moitié de la RAM avec Xms et Xmx identiques.</w:t>
      </w:r>
    </w:p>
    <w:p>
      <w:pPr>
        <w:spacing w:before="0" w:after="80" w:line="276" w:lineRule="auto"/>
        <w:ind w:left="340" w:hanging="170"/>
      </w:pPr>
      <w:r>
        <w:t>• Ajuster shards et replicas selon le nombre de nœuds et le niveau de haute disponibilité souhaité.</w:t>
      </w:r>
    </w:p>
    <w:p>
      <w:pPr>
        <w:spacing w:before="0" w:after="80" w:line="276" w:lineRule="auto"/>
        <w:ind w:left="340" w:hanging="170"/>
      </w:pPr>
      <w:r>
        <w:t>• En single node, laisser les replicas à 0.</w:t>
      </w:r>
    </w:p>
    <w:p>
      <w:pPr>
        <w:spacing w:before="0" w:after="80" w:line="276" w:lineRule="auto"/>
        <w:ind w:left="340" w:hanging="170"/>
      </w:pPr>
      <w:r>
        <w:t>• Sur cluster multi-zones, utiliser l'allocation awareness si nécessaire.</w:t>
      </w:r>
    </w:p>
    <w:p>
      <w:pPr>
        <w:pStyle w:val="MiniHeading"/>
        <w:spacing w:before="0" w:after="60" w:line="276" w:lineRule="auto"/>
      </w:pPr>
      <w:r>
        <w:t>Réglages de base indexer</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 Exemples de principes indexer</w:t>
              <w:br/>
              <w:t>bootstrap.memory_lock: true</w:t>
              <w:br/>
              <w:br/>
              <w:t># JVM (exemple pour 8 Go RAM)</w:t>
              <w:br/>
              <w:t>-Xms4g</w:t>
              <w:br/>
              <w:t>-Xmx4g</w:t>
            </w:r>
          </w:p>
        </w:tc>
      </w:tr>
    </w:tbl>
    <w:p/>
    <w:p>
      <w:pPr>
        <w:pStyle w:val="Heading1"/>
        <w:keepNext/>
        <w:spacing w:before="160" w:after="80" w:line="276" w:lineRule="auto"/>
      </w:pPr>
      <w:r>
        <w:t>12. Runbooks, contrôles de qualité et checklist avant production</w:t>
      </w:r>
    </w:p>
    <w:p>
      <w:pPr>
        <w:spacing w:before="0" w:after="120" w:line="276" w:lineRule="auto"/>
      </w:pPr>
      <w:r>
        <w:t>La partie la plus négligée dans les projets Wazuh n'est pas technique: c'est la qualité d'exploitation. Une plateforme bien installée mais sans runbook, sans monitor de santé et sans checklist devient vite une boîte noire.</w:t>
      </w:r>
    </w:p>
    <w:p>
      <w:pPr>
        <w:pStyle w:val="MiniHeading"/>
        <w:spacing w:before="0" w:after="80" w:line="276" w:lineRule="auto"/>
      </w:pPr>
      <w:r>
        <w:t>Runbooks minimum à documenter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948"/>
            <w:shd w:fill="1F6A52"/>
            <w:tcMar>
              <w:top w:w="100" w:type="dxa"/>
              <w:start w:w="100" w:type="dxa"/>
              <w:bottom w:w="100" w:type="dxa"/>
              <w:end w:w="100" w:type="dxa"/>
            </w:tcMar>
            <w:vAlign w:val="center"/>
          </w:tcPr>
          <w:p>
            <w:r>
              <w:rPr>
                <w:rFonts w:ascii="Arial" w:hAnsi="Arial"/>
                <w:b/>
                <w:color w:val="FFFFFF"/>
                <w:sz w:val="19"/>
              </w:rPr>
              <w:t>Runbook</w:t>
            </w:r>
          </w:p>
        </w:tc>
        <w:tc>
          <w:tcPr>
            <w:tcW w:type="dxa" w:w="6123"/>
            <w:shd w:fill="1F6A52"/>
            <w:tcMar>
              <w:top w:w="100" w:type="dxa"/>
              <w:start w:w="100" w:type="dxa"/>
              <w:bottom w:w="100" w:type="dxa"/>
              <w:end w:w="100" w:type="dxa"/>
            </w:tcMar>
            <w:vAlign w:val="center"/>
          </w:tcPr>
          <w:p>
            <w:r>
              <w:rPr>
                <w:rFonts w:ascii="Arial" w:hAnsi="Arial"/>
                <w:b/>
                <w:color w:val="FFFFFF"/>
                <w:sz w:val="19"/>
              </w:rPr>
              <w:t>But</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Runbook incident plateforme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Que faire si indexer rouge, dashboard indisponible, ingestion arrêtée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Runbook agent déconnecté</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Vérifier service, clé, réseau, groupe, version, certificats</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Runbook alerte critique</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Triage, qualification, enrichissement, escalade, clôture</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Runbook tuning</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Valider une règle ou un décodeur avant mise en production</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Runbook rétention</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Contrôle de l'espace disque, statut ISM, purge contrôlée</w:t>
            </w:r>
          </w:p>
        </w:tc>
      </w:tr>
    </w:tbl>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t>Checklist Go Live</w:t>
            </w:r>
          </w:p>
          <w:p>
            <w:pPr>
              <w:spacing w:before="0" w:after="40" w:line="276" w:lineRule="auto"/>
              <w:ind w:left="170" w:hanging="113"/>
            </w:pPr>
            <w:r>
              <w:t>• Tous les composants centraux communiquent en TLS et les certificats sont gérés proprement.</w:t>
            </w:r>
          </w:p>
          <w:p>
            <w:pPr>
              <w:spacing w:before="0" w:after="40" w:line="276" w:lineRule="auto"/>
              <w:ind w:left="170" w:hanging="113"/>
            </w:pPr>
            <w:r>
              <w:t>• Les comptes admin sont nominatifs et les rôles sont séparés.</w:t>
            </w:r>
          </w:p>
          <w:p>
            <w:pPr>
              <w:spacing w:before="0" w:after="40" w:line="276" w:lineRule="auto"/>
              <w:ind w:left="170" w:hanging="113"/>
            </w:pPr>
            <w:r>
              <w:t>• Les groupes d'agents sont définis et la configuration centralisée est validée.</w:t>
            </w:r>
          </w:p>
          <w:p>
            <w:pPr>
              <w:spacing w:before="0" w:after="40" w:line="276" w:lineRule="auto"/>
              <w:ind w:left="170" w:hanging="113"/>
            </w:pPr>
            <w:r>
              <w:t>• Les agents critiques remontent bien inventaire, vulnérabilités, SCA, FIM et logs attendus.</w:t>
            </w:r>
          </w:p>
          <w:p>
            <w:pPr>
              <w:spacing w:before="0" w:after="40" w:line="276" w:lineRule="auto"/>
              <w:ind w:left="170" w:hanging="113"/>
            </w:pPr>
            <w:r>
              <w:t>• Les dashboards principaux sont lisibles et utilisés par les bonnes populations.</w:t>
            </w:r>
          </w:p>
          <w:p>
            <w:pPr>
              <w:spacing w:before="0" w:after="40" w:line="276" w:lineRule="auto"/>
              <w:ind w:left="170" w:hanging="113"/>
            </w:pPr>
            <w:r>
              <w:t>• Les recherches Discover sauvegardées couvrent les cas d'usage majeurs.</w:t>
            </w:r>
          </w:p>
          <w:p>
            <w:pPr>
              <w:spacing w:before="0" w:after="40" w:line="276" w:lineRule="auto"/>
              <w:ind w:left="170" w:hanging="113"/>
            </w:pPr>
            <w:r>
              <w:t>• Les monitors et notifications sont limités à des cas réellement actionnables.</w:t>
            </w:r>
          </w:p>
          <w:p>
            <w:pPr>
              <w:spacing w:before="0" w:after="40" w:line="276" w:lineRule="auto"/>
              <w:ind w:left="170" w:hanging="113"/>
            </w:pPr>
            <w:r>
              <w:t>• Les intégrations cloud/SaaS sont testées une à une.</w:t>
            </w:r>
          </w:p>
          <w:p>
            <w:pPr>
              <w:spacing w:before="0" w:after="40" w:line="276" w:lineRule="auto"/>
              <w:ind w:left="170" w:hanging="113"/>
            </w:pPr>
            <w:r>
              <w:t>• Le stockage et la rétention sont explicitement décidés et pilotés.</w:t>
            </w:r>
          </w:p>
          <w:p>
            <w:pPr>
              <w:spacing w:before="0" w:after="40" w:line="276" w:lineRule="auto"/>
              <w:ind w:left="170" w:hanging="113"/>
            </w:pPr>
            <w:r>
              <w:t>• Toute règle locale est documentée, testée et versionnée.</w:t>
            </w:r>
          </w:p>
        </w:tc>
      </w:tr>
    </w:tbl>
    <w:p/>
    <w:p>
      <w:r>
        <w:br w:type="page"/>
      </w:r>
    </w:p>
    <w:p>
      <w:pPr>
        <w:pStyle w:val="Heading1"/>
        <w:keepNext/>
        <w:spacing w:before="160" w:after="80" w:line="276" w:lineRule="auto"/>
      </w:pPr>
      <w:r>
        <w:t>13. Annexes</w:t>
      </w:r>
    </w:p>
    <w:p>
      <w:pPr>
        <w:pStyle w:val="Heading2"/>
        <w:keepNext/>
        <w:spacing w:before="80" w:after="80" w:line="276" w:lineRule="auto"/>
      </w:pPr>
      <w:r>
        <w:t>13.1 Fichiers et chemins utiles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061"/>
            <w:shd w:fill="1F6A52"/>
            <w:tcMar>
              <w:top w:w="100" w:type="dxa"/>
              <w:start w:w="100" w:type="dxa"/>
              <w:bottom w:w="100" w:type="dxa"/>
              <w:end w:w="100" w:type="dxa"/>
            </w:tcMar>
            <w:vAlign w:val="center"/>
          </w:tcPr>
          <w:p>
            <w:r>
              <w:rPr>
                <w:rFonts w:ascii="Arial" w:hAnsi="Arial"/>
                <w:b/>
                <w:color w:val="FFFFFF"/>
                <w:sz w:val="19"/>
              </w:rPr>
              <w:t>Élément</w:t>
            </w:r>
          </w:p>
        </w:tc>
        <w:tc>
          <w:tcPr>
            <w:tcW w:type="dxa" w:w="6009"/>
            <w:shd w:fill="1F6A52"/>
            <w:tcMar>
              <w:top w:w="100" w:type="dxa"/>
              <w:start w:w="100" w:type="dxa"/>
              <w:bottom w:w="100" w:type="dxa"/>
              <w:end w:w="100" w:type="dxa"/>
            </w:tcMar>
            <w:vAlign w:val="center"/>
          </w:tcPr>
          <w:p>
            <w:r>
              <w:rPr>
                <w:rFonts w:ascii="Arial" w:hAnsi="Arial"/>
                <w:b/>
                <w:color w:val="FFFFFF"/>
                <w:sz w:val="19"/>
              </w:rPr>
              <w:t>Chemin</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Configuration manager / agent Linux</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/var/ossec/etc/ossec.conf</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Configuration centralisée par groupes</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/var/ossec/etc/shared/&lt;GROUP&gt;/agent.conf</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Règles locales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/var/ossec/etc/rules/local_rules.xml</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Décodeurs locaux</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/var/ossec/etc/decoders/local_decoder.xml</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Logs d'alertes</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/var/ossec/logs/alerts/alerts.log et alerts.json</w:t>
            </w:r>
          </w:p>
        </w:tc>
      </w:tr>
      <w:tr>
        <w:tc>
          <w:tcPr>
            <w:tcW w:type="dxa" w:w="4933"/>
            <w:tcMar>
              <w:top w:w="80" w:type="dxa"/>
              <w:start w:w="90" w:type="dxa"/>
              <w:bottom w:w="80" w:type="dxa"/>
              <w:end w:w="90" w:type="dxa"/>
            </w:tcMar>
            <w:vAlign w:val="center"/>
          </w:tcPr>
          <w:p>
            <w:pPr>
              <w:spacing w:before="0" w:after="40" w:line="259" w:lineRule="auto"/>
            </w:pPr>
            <w:r>
              <w:rPr>
                <w:rFonts w:ascii="Arial" w:hAnsi="Arial"/>
                <w:b/>
                <w:color w:val="1F2933"/>
                <w:sz w:val="18"/>
              </w:rPr>
              <w:t>API manager</w:t>
            </w:r>
          </w:p>
        </w:tc>
        <w:tc>
          <w:tcPr>
            <w:tcW w:type="dxa" w:w="4933"/>
            <w:tcMar>
              <w:top w:w="80" w:type="dxa"/>
              <w:start w:w="90" w:type="dxa"/>
              <w:bottom w:w="80" w:type="dxa"/>
              <w:end w:w="90" w:type="dxa"/>
            </w:tcMar>
            <w:vAlign w:val="center"/>
          </w:tcPr>
          <w:p>
            <w:pPr>
              <w:spacing w:before="0" w:after="40" w:line="259" w:lineRule="auto"/>
            </w:pPr>
            <w:r>
              <w:rPr>
                <w:rFonts w:ascii="Arial" w:hAnsi="Arial"/>
                <w:color w:val="1F2933"/>
                <w:sz w:val="18"/>
              </w:rPr>
              <w:t>/var/ossec/api/configuration/api.yaml</w:t>
            </w:r>
          </w:p>
        </w:tc>
      </w:tr>
      <w:tr>
        <w:tc>
          <w:tcPr>
            <w:tcW w:type="dxa" w:w="4933"/>
            <w:tcMar>
              <w:top w:w="80" w:type="dxa"/>
              <w:start w:w="90" w:type="dxa"/>
              <w:bottom w:w="80" w:type="dxa"/>
              <w:end w:w="90" w:type="dxa"/>
            </w:tcMar>
            <w:vAlign w:val="center"/>
            <w:shd w:fill="F4F7F9"/>
          </w:tcPr>
          <w:p>
            <w:pPr>
              <w:spacing w:before="0" w:after="40" w:line="259" w:lineRule="auto"/>
            </w:pPr>
            <w:r>
              <w:rPr>
                <w:rFonts w:ascii="Arial" w:hAnsi="Arial"/>
                <w:b/>
                <w:color w:val="1F2933"/>
                <w:sz w:val="18"/>
              </w:rPr>
              <w:t>Configuration indexer</w:t>
            </w:r>
          </w:p>
        </w:tc>
        <w:tc>
          <w:tcPr>
            <w:tcW w:type="dxa" w:w="4933"/>
            <w:tcMar>
              <w:top w:w="80" w:type="dxa"/>
              <w:start w:w="90" w:type="dxa"/>
              <w:bottom w:w="80" w:type="dxa"/>
              <w:end w:w="90" w:type="dxa"/>
            </w:tcMar>
            <w:vAlign w:val="center"/>
            <w:shd w:fill="F4F7F9"/>
          </w:tcPr>
          <w:p>
            <w:pPr>
              <w:spacing w:before="0" w:after="40" w:line="259" w:lineRule="auto"/>
            </w:pPr>
            <w:r>
              <w:rPr>
                <w:rFonts w:ascii="Arial" w:hAnsi="Arial"/>
                <w:color w:val="1F2933"/>
                <w:sz w:val="18"/>
              </w:rPr>
              <w:t>/etc/wazuh-indexer/opensearch.yml</w:t>
            </w:r>
          </w:p>
        </w:tc>
      </w:tr>
    </w:tbl>
    <w:p/>
    <w:p>
      <w:pPr>
        <w:pStyle w:val="Heading2"/>
        <w:keepNext/>
        <w:spacing w:before="80" w:after="80" w:line="276" w:lineRule="auto"/>
      </w:pPr>
      <w:r>
        <w:t>13.2 Rappels de validation</w:t>
      </w:r>
    </w:p>
    <w:tbl>
      <w:tblPr>
        <w:tblW w:type="auto" w:w="0"/>
        <w:jc w:val="center"/>
        <w:tblLook w:firstColumn="1" w:firstRow="1" w:lastColumn="0" w:lastRow="0" w:noHBand="0" w:noVBand="1" w:val="04A0"/>
      </w:tblPr>
      <w:tblGrid>
        <w:gridCol w:w="9866"/>
      </w:tblGrid>
      <w:tr>
        <w:tc>
          <w:tcPr>
            <w:tcW w:type="dxa" w:w="9866"/>
            <w:shd w:fill="F7F7F7"/>
            <w:tcMar>
              <w:top w:w="110" w:type="dxa"/>
              <w:start w:w="120" w:type="dxa"/>
              <w:bottom w:w="110" w:type="dxa"/>
              <w:end w:w="120" w:type="dxa"/>
            </w:tcMar>
          </w:tcPr>
          <w:p>
            <w:pPr>
              <w:pStyle w:val="CodeBlock"/>
              <w:spacing w:after="0" w:line="240" w:lineRule="auto"/>
            </w:pPr>
            <w:r>
              <w:t>/var/ossec/bin/wazuh-logtest</w:t>
              <w:br/>
              <w:t>/var/ossec/bin/wazuh-syscheckd -t</w:t>
              <w:br/>
              <w:t>/var/ossec/bin/wazuh-modulesd -t</w:t>
              <w:br/>
              <w:t>/var/ossec/bin/wazuh-analysisd -t</w:t>
              <w:br/>
              <w:t>/var/ossec/bin/verify-agent-conf -f /var/ossec/etc/shared/default/agent.conf.tmp</w:t>
            </w:r>
          </w:p>
        </w:tc>
      </w:tr>
    </w:tbl>
    <w:p/>
    <w:p>
      <w:pPr>
        <w:pStyle w:val="Heading2"/>
        <w:keepNext/>
        <w:spacing w:before="80" w:after="80" w:line="276" w:lineRule="auto"/>
      </w:pPr>
      <w:r>
        <w:t>13.3 Sources officielles utilisées pour ce document</w:t>
      </w:r>
    </w:p>
    <w:p>
      <w:pPr>
        <w:spacing w:before="0" w:after="80" w:line="276" w:lineRule="auto"/>
        <w:ind w:left="340" w:hanging="170"/>
      </w:pPr>
      <w:r>
        <w:t>• Wazuh - Getting started / architecture / components</w:t>
      </w:r>
    </w:p>
    <w:p>
      <w:pPr>
        <w:spacing w:before="0" w:after="80" w:line="276" w:lineRule="auto"/>
        <w:ind w:left="340" w:hanging="170"/>
      </w:pPr>
      <w:r>
        <w:t>• Wazuh - Wazuh dashboard, custom dashboards, WQL, global queries, multi-tenancy, RBAC, SSO</w:t>
      </w:r>
    </w:p>
    <w:p>
      <w:pPr>
        <w:spacing w:before="0" w:after="80" w:line="276" w:lineRule="auto"/>
        <w:ind w:left="340" w:hanging="170"/>
      </w:pPr>
      <w:r>
        <w:t>• Wazuh - IT Hygiene, system inventory, vulnerability detection, SCA, FIM, active response</w:t>
      </w:r>
    </w:p>
    <w:p>
      <w:pPr>
        <w:spacing w:before="0" w:after="80" w:line="276" w:lineRule="auto"/>
        <w:ind w:left="340" w:hanging="170"/>
      </w:pPr>
      <w:r>
        <w:t>• Wazuh - Cloud security: Docker, AWS, Google Cloud, GitHub, Office 365, Microsoft Graph</w:t>
      </w:r>
    </w:p>
    <w:p>
      <w:pPr>
        <w:spacing w:before="0" w:after="80" w:line="276" w:lineRule="auto"/>
        <w:ind w:left="340" w:hanging="170"/>
      </w:pPr>
      <w:r>
        <w:t>• Wazuh - Wazuh indexer indices, tuning and index lifecycle management</w:t>
      </w:r>
    </w:p>
    <w:p>
      <w:pPr>
        <w:spacing w:before="0" w:after="80" w:line="276" w:lineRule="auto"/>
        <w:ind w:left="340" w:hanging="170"/>
      </w:pPr>
      <w:r>
        <w:t>• OpenSearch Dashboards - Discover, Alerting, Notifications, Reporting, Maps, Anomaly Detection</w:t>
      </w:r>
    </w:p>
    <w:tbl>
      <w:tblPr>
        <w:tblW w:type="auto" w:w="0"/>
        <w:jc w:val="center"/>
        <w:tblLayout w:type="autofit"/>
        <w:tblLook w:firstColumn="1" w:firstRow="1" w:lastColumn="0" w:lastRow="0" w:noHBand="0" w:noVBand="1" w:val="04A0"/>
      </w:tblPr>
      <w:tblGrid>
        <w:gridCol w:w="9866"/>
      </w:tblGrid>
      <w:tr>
        <w:tc>
          <w:tcPr>
            <w:tcW w:type="dxa" w:w="9866"/>
            <w:shd w:fill="DDEFE6"/>
            <w:tcMar>
              <w:top w:w="120" w:type="dxa"/>
              <w:start w:w="120" w:type="dxa"/>
              <w:bottom w:w="120" w:type="dxa"/>
              <w:end w:w="120" w:type="dxa"/>
            </w:tcMar>
            <w:vAlign w:val="center"/>
          </w:tcPr>
          <w:p>
            <w:pPr>
              <w:pStyle w:val="MiniHeading"/>
              <w:spacing w:before="0" w:after="80" w:line="276" w:lineRule="auto"/>
            </w:pPr>
            <w:r>
              <w:rPr>
                <w:b/>
                <w:color w:val="1F2D3D"/>
              </w:rPr>
              <w:t>Conclusion opérationnelle</w:t>
            </w:r>
          </w:p>
          <w:p>
            <w:pPr>
              <w:spacing w:before="0" w:after="80" w:line="276" w:lineRule="auto"/>
            </w:pPr>
            <w:r>
              <w:rPr>
                <w:rFonts w:ascii="Arial" w:hAnsi="Arial"/>
                <w:color w:val="1F2933"/>
                <w:sz w:val="20"/>
              </w:rPr>
              <w:t>Pour réussir ce chantier en entreprise, trois points doivent rester centraux: la qualité des données, la clarté des vues dashboard et la discipline de tuning. Wazuh peut couvrir un très large périmètre, mais sa valeur réelle vient d'une implémentation progressive, documentée et propre.</w:t>
            </w:r>
          </w:p>
        </w:tc>
      </w:tr>
    </w:tbl>
    <w:p/>
    <w:p>
      <w:r>
        <w:br w:type="page"/>
      </w:r>
    </w:p>
    <w:p>
      <w:pPr>
        <w:pStyle w:val="Heading1"/>
        <w:keepNext/>
        <w:spacing w:before="200"/>
      </w:pPr>
      <w:r>
        <w:t>14. Compléments opérationnels spécifiques à Obeo</w:t>
      </w:r>
    </w:p>
    <w:p>
      <w:pPr>
        <w:spacing w:after="120"/>
      </w:pPr>
      <w:r>
        <w:rPr>
          <w:rFonts w:ascii="Arial" w:hAnsi="Arial"/>
          <w:sz w:val="20"/>
        </w:rPr>
        <w:t>Les compléments ci-dessous renforcent le guide initial avec un angle plus opérationnel. Ils sont pensés pour un contexte Obeo: plusieurs sites, une forte dominante Linux et open source, des populations très différentes développement, ingénierie, commercial et RH, des services internes sensibles, ainsi que des briques d'infrastructure à forte valeur comme des hyperviseurs XEN, des serveurs internes et des intégrations cloud/SaaS.</w:t>
      </w:r>
    </w:p>
    <w:p>
      <w:pPr>
        <w:spacing w:after="120"/>
      </w:pPr>
      <w:r>
        <w:rPr>
          <w:rFonts w:ascii="Arial" w:hAnsi="Arial"/>
          <w:sz w:val="20"/>
        </w:rPr>
        <w:t>L'objectif n'est pas d'ajouter des options partout, mais de structurer Wazuh pour qu'il reste maintenable, crédible et utile au quotidien. Dans ce type d'environnement, la qualité du découpage des groupes d'agents, la gestion des faux positifs et la discipline d'exploitation comptent au moins autant que la profondeur technique.</w:t>
      </w:r>
    </w:p>
    <w:p>
      <w:pPr>
        <w:pStyle w:val="Heading2"/>
        <w:keepNext/>
        <w:spacing w:before="200"/>
      </w:pPr>
      <w:r>
        <w:t>14.1 Traduction du contexte Obeo dans la structuration Wazuh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Dimension</w:t>
            </w:r>
          </w:p>
        </w:tc>
        <w:tc>
          <w:tcPr>
            <w:tcW w:type="dxa" w:w="28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Contexte Obeo</w:t>
            </w:r>
          </w:p>
        </w:tc>
        <w:tc>
          <w:tcPr>
            <w:tcW w:type="dxa" w:w="45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Impact opérationnel Wazuh</w:t>
            </w:r>
          </w:p>
        </w:tc>
      </w:tr>
      <w:tr>
        <w:tc>
          <w:tcPr>
            <w:tcW w:type="dxa" w:w="1814"/>
            <w:vAlign w:val="center"/>
            <w:tcMar>
              <w:top w:w="90" w:type="dxa"/>
              <w:start w:w="110" w:type="dxa"/>
              <w:bottom w:w="90" w:type="dxa"/>
              <w:end w:w="110" w:type="dxa"/>
            </w:tcMar>
          </w:tcPr>
          <w:p>
            <w:pPr>
              <w:spacing w:before="0" w:after="0" w:line="264" w:lineRule="auto"/>
              <w:jc w:val="left"/>
            </w:pPr>
            <w:r>
              <w:rPr>
                <w:rFonts w:ascii="Arial" w:hAnsi="Arial"/>
                <w:color w:val="1F2933"/>
                <w:sz w:val="18"/>
              </w:rPr>
              <w:t>Sites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Nantes, autres sites France, Canada</w:t>
            </w:r>
          </w:p>
        </w:tc>
        <w:tc>
          <w:tcPr>
            <w:tcW w:type="dxa" w:w="4535"/>
            <w:vAlign w:val="center"/>
            <w:tcMar>
              <w:top w:w="90" w:type="dxa"/>
              <w:start w:w="110" w:type="dxa"/>
              <w:bottom w:w="90" w:type="dxa"/>
              <w:end w:w="110" w:type="dxa"/>
            </w:tcMar>
          </w:tcPr>
          <w:p>
            <w:pPr>
              <w:spacing w:before="0" w:after="0" w:line="264" w:lineRule="auto"/>
              <w:jc w:val="left"/>
            </w:pPr>
            <w:r>
              <w:rPr>
                <w:rFonts w:ascii="Arial" w:hAnsi="Arial"/>
                <w:color w:val="1F2933"/>
                <w:sz w:val="18"/>
              </w:rPr>
              <w:t>Appliquer des labels de site, préparer des vues par zone géographique et adapter les notifications aux fuseaux horaires et aux équipes locales.</w:t>
            </w:r>
          </w:p>
        </w:tc>
      </w:tr>
      <w:tr>
        <w:tc>
          <w:tcPr>
            <w:tcW w:type="dxa" w:w="1814"/>
            <w:vAlign w:val="center"/>
            <w:tcMar>
              <w:top w:w="90" w:type="dxa"/>
              <w:start w:w="110" w:type="dxa"/>
              <w:bottom w:w="90" w:type="dxa"/>
              <w:end w:w="110" w:type="dxa"/>
            </w:tcMar>
          </w:tcPr>
          <w:p>
            <w:pPr>
              <w:spacing w:before="0" w:after="0" w:line="264" w:lineRule="auto"/>
              <w:jc w:val="left"/>
            </w:pPr>
            <w:r>
              <w:rPr>
                <w:rFonts w:ascii="Arial" w:hAnsi="Arial"/>
                <w:color w:val="1F2933"/>
                <w:sz w:val="18"/>
              </w:rPr>
              <w:t>Populations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Développeurs, ingénierie, commercial, RH, exploitation</w:t>
            </w:r>
          </w:p>
        </w:tc>
        <w:tc>
          <w:tcPr>
            <w:tcW w:type="dxa" w:w="4535"/>
            <w:vAlign w:val="center"/>
            <w:tcMar>
              <w:top w:w="90" w:type="dxa"/>
              <w:start w:w="110" w:type="dxa"/>
              <w:bottom w:w="90" w:type="dxa"/>
              <w:end w:w="110" w:type="dxa"/>
            </w:tcMar>
          </w:tcPr>
          <w:p>
            <w:pPr>
              <w:spacing w:before="0" w:after="0" w:line="264" w:lineRule="auto"/>
              <w:jc w:val="left"/>
            </w:pPr>
            <w:r>
              <w:rPr>
                <w:rFonts w:ascii="Arial" w:hAnsi="Arial"/>
                <w:color w:val="1F2933"/>
                <w:sz w:val="18"/>
              </w:rPr>
              <w:t>Créer des groupes d'agents et des dashboards distincts, car le bruit acceptable, les journaux utiles et les destinataires ne sont pas les mêmes.</w:t>
            </w:r>
          </w:p>
        </w:tc>
      </w:tr>
      <w:tr>
        <w:tc>
          <w:tcPr>
            <w:tcW w:type="dxa" w:w="1814"/>
            <w:vAlign w:val="center"/>
            <w:tcMar>
              <w:top w:w="90" w:type="dxa"/>
              <w:start w:w="110" w:type="dxa"/>
              <w:bottom w:w="90" w:type="dxa"/>
              <w:end w:w="110" w:type="dxa"/>
            </w:tcMar>
          </w:tcPr>
          <w:p>
            <w:pPr>
              <w:spacing w:before="0" w:after="0" w:line="264" w:lineRule="auto"/>
              <w:jc w:val="left"/>
            </w:pPr>
            <w:r>
              <w:rPr>
                <w:rFonts w:ascii="Arial" w:hAnsi="Arial"/>
                <w:color w:val="1F2933"/>
                <w:sz w:val="18"/>
              </w:rPr>
              <w:t>Socle technique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Linux majoritaire, services open source, serveurs internes</w:t>
            </w:r>
          </w:p>
        </w:tc>
        <w:tc>
          <w:tcPr>
            <w:tcW w:type="dxa" w:w="4535"/>
            <w:vAlign w:val="center"/>
            <w:tcMar>
              <w:top w:w="90" w:type="dxa"/>
              <w:start w:w="110" w:type="dxa"/>
              <w:bottom w:w="90" w:type="dxa"/>
              <w:end w:w="110" w:type="dxa"/>
            </w:tcMar>
          </w:tcPr>
          <w:p>
            <w:pPr>
              <w:spacing w:before="0" w:after="0" w:line="264" w:lineRule="auto"/>
              <w:jc w:val="left"/>
            </w:pPr>
            <w:r>
              <w:rPr>
                <w:rFonts w:ascii="Arial" w:hAnsi="Arial"/>
                <w:color w:val="1F2933"/>
                <w:sz w:val="18"/>
              </w:rPr>
              <w:t>Donner la priorité aux journaux SSH, sudo, PAM, cron, systemd, reverse proxy, applications internes, FIM ciblée et SCA Linux.</w:t>
            </w:r>
          </w:p>
        </w:tc>
      </w:tr>
      <w:tr>
        <w:tc>
          <w:tcPr>
            <w:tcW w:type="dxa" w:w="1814"/>
            <w:vAlign w:val="center"/>
            <w:tcMar>
              <w:top w:w="90" w:type="dxa"/>
              <w:start w:w="110" w:type="dxa"/>
              <w:bottom w:w="90" w:type="dxa"/>
              <w:end w:w="110" w:type="dxa"/>
            </w:tcMar>
          </w:tcPr>
          <w:p>
            <w:pPr>
              <w:spacing w:before="0" w:after="0" w:line="264" w:lineRule="auto"/>
              <w:jc w:val="left"/>
            </w:pPr>
            <w:r>
              <w:rPr>
                <w:rFonts w:ascii="Arial" w:hAnsi="Arial"/>
                <w:color w:val="1F2933"/>
                <w:sz w:val="18"/>
              </w:rPr>
              <w:t>Infra sensible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Hyperviseurs XEN, bastions, hôtes Docker, services exposés</w:t>
            </w:r>
          </w:p>
        </w:tc>
        <w:tc>
          <w:tcPr>
            <w:tcW w:type="dxa" w:w="4535"/>
            <w:vAlign w:val="center"/>
            <w:tcMar>
              <w:top w:w="90" w:type="dxa"/>
              <w:start w:w="110" w:type="dxa"/>
              <w:bottom w:w="90" w:type="dxa"/>
              <w:end w:w="110" w:type="dxa"/>
            </w:tcMar>
          </w:tcPr>
          <w:p>
            <w:pPr>
              <w:spacing w:before="0" w:after="0" w:line="264" w:lineRule="auto"/>
              <w:jc w:val="left"/>
            </w:pPr>
            <w:r>
              <w:rPr>
                <w:rFonts w:ascii="Arial" w:hAnsi="Arial"/>
                <w:color w:val="1F2933"/>
                <w:sz w:val="18"/>
              </w:rPr>
              <w:t>Monter le niveau de surveillance, durcir les canaux d'alerte et prévoir des runbooks dédiés par type de système.</w:t>
            </w:r>
          </w:p>
        </w:tc>
      </w:tr>
      <w:tr>
        <w:tc>
          <w:tcPr>
            <w:tcW w:type="dxa" w:w="1814"/>
            <w:vAlign w:val="center"/>
            <w:tcMar>
              <w:top w:w="90" w:type="dxa"/>
              <w:start w:w="110" w:type="dxa"/>
              <w:bottom w:w="90" w:type="dxa"/>
              <w:end w:w="110" w:type="dxa"/>
            </w:tcMar>
          </w:tcPr>
          <w:p>
            <w:pPr>
              <w:spacing w:before="0" w:after="0" w:line="264" w:lineRule="auto"/>
              <w:jc w:val="left"/>
            </w:pPr>
            <w:r>
              <w:rPr>
                <w:rFonts w:ascii="Arial" w:hAnsi="Arial"/>
                <w:color w:val="1F2933"/>
                <w:sz w:val="18"/>
              </w:rPr>
              <w:t>Cloud / SaaS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GitHub, Office 365, Microsoft Graph, AWS, GCP</w:t>
            </w:r>
          </w:p>
        </w:tc>
        <w:tc>
          <w:tcPr>
            <w:tcW w:type="dxa" w:w="4535"/>
            <w:vAlign w:val="center"/>
            <w:tcMar>
              <w:top w:w="90" w:type="dxa"/>
              <w:start w:w="110" w:type="dxa"/>
              <w:bottom w:w="90" w:type="dxa"/>
              <w:end w:w="110" w:type="dxa"/>
            </w:tcMar>
          </w:tcPr>
          <w:p>
            <w:pPr>
              <w:spacing w:before="0" w:after="0" w:line="264" w:lineRule="auto"/>
              <w:jc w:val="left"/>
            </w:pPr>
            <w:r>
              <w:rPr>
                <w:rFonts w:ascii="Arial" w:hAnsi="Arial"/>
                <w:color w:val="1F2933"/>
                <w:sz w:val="18"/>
              </w:rPr>
              <w:t>Activer les intégrations séparément, isoler les secrets, contrôler la fraîcheur des flux et ajouter des monitors de perte de télémétrie.</w:t>
            </w:r>
          </w:p>
        </w:tc>
      </w:tr>
    </w:tbl>
    <w:p/>
    <w:p>
      <w:pPr>
        <w:spacing w:after="120"/>
      </w:pPr>
      <w:r>
        <w:rPr>
          <w:rFonts w:ascii="Arial" w:hAnsi="Arial"/>
          <w:sz w:val="20"/>
        </w:rPr>
        <w:t>En pratique, un groupe unique de type 'linux' et un dashboard générique ne suffisent pas. Il faut segmenter par périmètre technique, criticité, exposition et responsable métier. Cette segmentation est aussi ce qui permettra ensuite de traiter proprement les faux positifs sans dégrader la détection globale.</w:t>
      </w:r>
    </w:p>
    <w:p>
      <w:pPr>
        <w:pStyle w:val="Heading2"/>
        <w:keepNext/>
        <w:spacing w:before="200"/>
      </w:pPr>
      <w:r>
        <w:t>14.2 Groupes d'agents, labels et périmètres recommandés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Groupe</w:t>
            </w:r>
          </w:p>
        </w:tc>
        <w:tc>
          <w:tcPr>
            <w:tcW w:type="dxa" w:w="221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Population / périmètre</w:t>
            </w:r>
          </w:p>
        </w:tc>
        <w:tc>
          <w:tcPr>
            <w:tcW w:type="dxa" w:w="294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Modules et journaux prioritaires</w:t>
            </w:r>
          </w:p>
        </w:tc>
        <w:tc>
          <w:tcPr>
            <w:tcW w:type="dxa" w:w="238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Point d'attention</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linux-servers-prod</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Services applicatifs et serveurs métier de production</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Syscollector, vulnérabilités, SCA, FIM ciblée, SSH/sudo, logs applicatifs, reverse proxy</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Réduire le bruit, surveiller les changements sensibles et suivre les écarts de conformité.</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linux-servers-infra</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DNS, annuaire, bastions, supervision, VPN, stockage</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Auth, sudo, cron, services système, réseau, FIM sur /etc et scripts d'admin</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Sensibilité élevée; intégrer ces hôtes dans les monitors prioritaires.</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linux-dev-workstations</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Postes développeurs et ingénierie</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Inventaire logiciel, extensions navigateur, utilisateurs/groupes, SSH, sudo, Docker si présent</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Prévoir plus d'exceptions métier mais ne pas relâcher la traçabilité.</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rh-office</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Postes ou serveurs manipulant des données RH</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Inventaire, conformité, journaux d'authentification, accès sensibles, Office 365/Graph si concerné</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Appliquer une gouvernance d'alerte plus restrictive et une confidentialité renforcée.</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hypervisors-xen</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Dom0, nœuds d'administration et outils de gestion XEN</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SSH, sudo, /var/log/xen, modifications /etc/xen, services, comptes privilégiés</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Ces hôtes doivent être considérés comme tier-1.</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docker-hosts</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Hôtes exécutant des conteneurs</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Docker listener, daemon Docker, FIM sur compose/manifests, journaux système</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Surveiller les conteneurs privilégiés, montages sensibles et changements d'images.</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exposed-services</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Reverse proxies, frontaux Internet, services exposés</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Nginx/Apache/Traefik, TLS, logs d'accès/erreur, FIM sur configuration</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Utile pour la détection d'abus, d'erreurs de configuration et d'activité anormale.</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cloud-collectors</w:t>
            </w:r>
          </w:p>
        </w:tc>
        <w:tc>
          <w:tcPr>
            <w:tcW w:type="dxa" w:w="2211"/>
            <w:vAlign w:val="center"/>
            <w:tcMar>
              <w:top w:w="90" w:type="dxa"/>
              <w:start w:w="110" w:type="dxa"/>
              <w:bottom w:w="90" w:type="dxa"/>
              <w:end w:w="110" w:type="dxa"/>
            </w:tcMar>
          </w:tcPr>
          <w:p>
            <w:pPr>
              <w:spacing w:before="0" w:after="0" w:line="264" w:lineRule="auto"/>
              <w:jc w:val="left"/>
            </w:pPr>
            <w:r>
              <w:rPr>
                <w:rFonts w:ascii="Arial" w:hAnsi="Arial"/>
                <w:color w:val="1F2933"/>
                <w:sz w:val="18"/>
              </w:rPr>
              <w:t>Intégrations AWS, GCP, GitHub, O365, Graph</w:t>
            </w:r>
          </w:p>
        </w:tc>
        <w:tc>
          <w:tcPr>
            <w:tcW w:type="dxa" w:w="2948"/>
            <w:vAlign w:val="center"/>
            <w:tcMar>
              <w:top w:w="90" w:type="dxa"/>
              <w:start w:w="110" w:type="dxa"/>
              <w:bottom w:w="90" w:type="dxa"/>
              <w:end w:w="110" w:type="dxa"/>
            </w:tcMar>
          </w:tcPr>
          <w:p>
            <w:pPr>
              <w:spacing w:before="0" w:after="0" w:line="264" w:lineRule="auto"/>
              <w:jc w:val="left"/>
            </w:pPr>
            <w:r>
              <w:rPr>
                <w:rFonts w:ascii="Arial" w:hAnsi="Arial"/>
                <w:color w:val="1F2933"/>
                <w:sz w:val="18"/>
              </w:rPr>
              <w:t>Modules cloud, fraicheur de collecte, erreurs d'authentification, volume ingéré</w:t>
            </w:r>
          </w:p>
        </w:tc>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Prévoir des alertes sur la perte de flux autant que sur le contenu sécurité.</w:t>
            </w:r>
          </w:p>
        </w:tc>
      </w:tr>
    </w:tbl>
    <w:p/>
    <w:p>
      <w:pPr>
        <w:pStyle w:val="MiniHeading"/>
        <w:keepNext/>
      </w:pPr>
      <w:r>
        <w:t>Labels à normaliser sur les agents</w:t>
      </w:r>
    </w:p>
    <w:p>
      <w:pPr>
        <w:spacing w:after="40"/>
        <w:ind w:left="142" w:hanging="142"/>
      </w:pPr>
      <w:r>
        <w:t>• site=nantes, site=france, site=canada pour piloter les vues, les recherches et les exports par zone.</w:t>
      </w:r>
    </w:p>
    <w:p>
      <w:pPr>
        <w:spacing w:after="40"/>
        <w:ind w:left="142" w:hanging="142"/>
      </w:pPr>
      <w:r>
        <w:t>• env=prod, preprod, dev pour ne pas mélanger les mêmes seuils et les mêmes notifications.</w:t>
      </w:r>
    </w:p>
    <w:p>
      <w:pPr>
        <w:spacing w:after="40"/>
        <w:ind w:left="142" w:hanging="142"/>
      </w:pPr>
      <w:r>
        <w:t>• owner=infra, devops, rh, business-app, security pour orienter les escalades et le reporting.</w:t>
      </w:r>
    </w:p>
    <w:p>
      <w:pPr>
        <w:spacing w:after="40"/>
        <w:ind w:left="142" w:hanging="142"/>
      </w:pPr>
      <w:r>
        <w:t>• criticality=tier1, tier2, tier3 et exposed=yes/no pour filtrer les priorités d'investigation.</w:t>
      </w:r>
    </w:p>
    <w:tbl>
      <w:tblPr>
        <w:tblW w:type="auto" w:w="0"/>
        <w:jc w:val="center"/>
        <w:tblLook w:firstColumn="1" w:firstRow="1" w:lastColumn="0" w:lastRow="0" w:noHBand="0" w:noVBand="1" w:val="04A0"/>
      </w:tblPr>
      <w:tblGrid>
        <w:gridCol w:w="9866"/>
      </w:tblGrid>
      <w:tr>
        <w:tc>
          <w:tcPr>
            <w:tcW w:type="dxa" w:w="9866"/>
            <w:shd w:val="clear" w:color="auto" w:fill="FFF2CC"/>
            <w:tcMar>
              <w:top w:w="110" w:type="dxa"/>
              <w:start w:w="120" w:type="dxa"/>
              <w:bottom w:w="110" w:type="dxa"/>
              <w:end w:w="120" w:type="dxa"/>
            </w:tcMar>
          </w:tcPr>
          <w:p>
            <w:pPr>
              <w:pStyle w:val="MiniHeading"/>
            </w:pPr>
            <w:r>
              <w:t>Attention gouvernance</w:t>
            </w:r>
          </w:p>
          <w:p>
            <w:pPr>
              <w:spacing w:after="40"/>
              <w:ind w:left="142" w:hanging="142"/>
            </w:pPr>
            <w:r>
              <w:t>• Les options les plus risquées doivent rester sous contrôle strict: remote commands, active response bloquante, whodata à grande échelle sur des répertoires volumineux, et déploiement massif d'options avancées sur les postes développeurs.</w:t>
            </w:r>
          </w:p>
          <w:p>
            <w:pPr>
              <w:spacing w:after="40"/>
              <w:ind w:left="142" w:hanging="142"/>
            </w:pPr>
            <w:r>
              <w:t>• Wazuh 4.14 apporte le hot reload de la configuration agent; cela facilite l'exploitation, mais il reste recommandé de valider tout changement sur un groupe pilote avant généralisation.</w:t>
            </w:r>
          </w:p>
        </w:tc>
      </w:tr>
    </w:tbl>
    <w:p/>
    <w:p>
      <w:pPr>
        <w:pStyle w:val="Heading2"/>
        <w:keepNext/>
        <w:spacing w:before="200"/>
      </w:pPr>
      <w:r>
        <w:t>14.3 Journaux Linux et open source à intégrer en priorité</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Source</w:t>
            </w:r>
          </w:p>
        </w:tc>
        <w:tc>
          <w:tcPr>
            <w:tcW w:type="dxa" w:w="260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Emplacement ou flux</w:t>
            </w:r>
          </w:p>
        </w:tc>
        <w:tc>
          <w:tcPr>
            <w:tcW w:type="dxa" w:w="272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Valeur sécurité</w:t>
            </w:r>
          </w:p>
        </w:tc>
        <w:tc>
          <w:tcPr>
            <w:tcW w:type="dxa" w:w="1984"/>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Groupe cible</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Authentification SSH / PAM / sudo</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/var/log/auth.log ou /var/log/secure, sudoers, PAM</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Connexions, élévations de privilèges, brute force, comptes de service, usages admin</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Tous les Linux; priorité aux bastions, prod et hyperviseurs.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Système et services</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/var/log/syslog ou /var/log/messages, services systemd, erreurs critiques</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Redémarrages, crashs, changements de services, anomalies système</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Serveurs prod, infra, hyperviseurs.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Cron et tâches planifiées</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/var/log/cron, crontabs, timers systemd</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Persistance, exécution non prévue, dérive d'administration</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Serveurs prod et infra.</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Reverse proxy / web</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Nginx, Apache, Traefik, HAProxy</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Accès anormaux, 4xx/5xx, scans, erreurs applicatives, abus Internet</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Services exposés et frontaux internes.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Applications open source internes</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GitLab, Gitea, Jenkins, SonarQube, Nexus, applications métier</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Changements de droits, erreurs, actions d'administration, flux CI/CD</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Dev, ingénierie, équipes plateforme.</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Base de données et middleware</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PostgreSQL, MySQL, Redis, RabbitMQ, brokers</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Erreurs d'accès, changements sensibles, indisponibilités, comptes techniques</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Services métier et back-end.</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Docker et conteneurs</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docker-listener, daemon Docker, manifests et fichiers compose</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Création/arrêt de conteneurs, privilèges, montages host, changement d'images</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Hôtes conteneurisés.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XEN / virtualisation</w:t>
            </w:r>
          </w:p>
        </w:tc>
        <w:tc>
          <w:tcPr>
            <w:tcW w:type="dxa" w:w="2608"/>
            <w:vAlign w:val="center"/>
            <w:tcMar>
              <w:top w:w="90" w:type="dxa"/>
              <w:start w:w="110" w:type="dxa"/>
              <w:bottom w:w="90" w:type="dxa"/>
              <w:end w:w="110" w:type="dxa"/>
            </w:tcMar>
          </w:tcPr>
          <w:p>
            <w:pPr>
              <w:spacing w:before="0" w:after="0" w:line="264" w:lineRule="auto"/>
              <w:jc w:val="left"/>
            </w:pPr>
            <w:r>
              <w:rPr>
                <w:rFonts w:ascii="Arial" w:hAnsi="Arial"/>
                <w:color w:val="1F2933"/>
                <w:sz w:val="18"/>
              </w:rPr>
              <w:t>/var/log/xen, /etc/xen, auth et sudo sur dom0</w:t>
            </w:r>
          </w:p>
        </w:tc>
        <w:tc>
          <w:tcPr>
            <w:tcW w:type="dxa" w:w="2721"/>
            <w:vAlign w:val="center"/>
            <w:tcMar>
              <w:top w:w="90" w:type="dxa"/>
              <w:start w:w="110" w:type="dxa"/>
              <w:bottom w:w="90" w:type="dxa"/>
              <w:end w:w="110" w:type="dxa"/>
            </w:tcMar>
          </w:tcPr>
          <w:p>
            <w:pPr>
              <w:spacing w:before="0" w:after="0" w:line="264" w:lineRule="auto"/>
              <w:jc w:val="left"/>
            </w:pPr>
            <w:r>
              <w:rPr>
                <w:rFonts w:ascii="Arial" w:hAnsi="Arial"/>
                <w:color w:val="1F2933"/>
                <w:sz w:val="18"/>
              </w:rPr>
              <w:t>Administration de l'hyperviseur, modifications de VM, changements de configuration</w:t>
            </w:r>
          </w:p>
        </w:tc>
        <w:tc>
          <w:tcPr>
            <w:tcW w:type="dxa" w:w="1984"/>
            <w:vAlign w:val="center"/>
            <w:tcMar>
              <w:top w:w="90" w:type="dxa"/>
              <w:start w:w="110" w:type="dxa"/>
              <w:bottom w:w="90" w:type="dxa"/>
              <w:end w:w="110" w:type="dxa"/>
            </w:tcMar>
          </w:tcPr>
          <w:p>
            <w:pPr>
              <w:spacing w:before="0" w:after="0" w:line="264" w:lineRule="auto"/>
              <w:jc w:val="left"/>
            </w:pPr>
            <w:r>
              <w:rPr>
                <w:rFonts w:ascii="Arial" w:hAnsi="Arial"/>
                <w:color w:val="1F2933"/>
                <w:sz w:val="18"/>
              </w:rPr>
              <w:t>Hyperviseurs et nœuds d'administration.</w:t>
            </w:r>
          </w:p>
        </w:tc>
      </w:tr>
    </w:tbl>
    <w:p/>
    <w:tbl>
      <w:tblPr>
        <w:tblW w:type="auto" w:w="0"/>
        <w:jc w:val="center"/>
        <w:tblLook w:firstColumn="1" w:firstRow="1" w:lastColumn="0" w:lastRow="0" w:noHBand="0" w:noVBand="1" w:val="04A0"/>
      </w:tblPr>
      <w:tblGrid>
        <w:gridCol w:w="9866"/>
      </w:tblGrid>
      <w:tr>
        <w:tc>
          <w:tcPr>
            <w:tcW w:type="dxa" w:w="9866"/>
            <w:shd w:val="clear" w:color="auto" w:fill="EAF5F0"/>
            <w:tcMar>
              <w:top w:w="110" w:type="dxa"/>
              <w:start w:w="120" w:type="dxa"/>
              <w:bottom w:w="110" w:type="dxa"/>
              <w:end w:w="120" w:type="dxa"/>
            </w:tcMar>
          </w:tcPr>
          <w:p>
            <w:pPr>
              <w:pStyle w:val="MiniHeading"/>
            </w:pPr>
            <w:r>
              <w:t>Note Linux</w:t>
            </w:r>
          </w:p>
          <w:p>
            <w:pPr>
              <w:spacing w:after="40"/>
              <w:ind w:left="142" w:hanging="142"/>
            </w:pPr>
            <w:r>
              <w:t>• Selon la distribution, les chemins d'authentification diffèrent: /var/log/auth.log sur Debian/Ubuntu, /var/log/secure sur Red Hat et dérivés.</w:t>
            </w:r>
          </w:p>
          <w:p>
            <w:pPr>
              <w:spacing w:after="40"/>
              <w:ind w:left="142" w:hanging="142"/>
            </w:pPr>
            <w:r>
              <w:t>• Sur les systèmes principalement journald, il est conseillé d'assurer une journalisation exploitable par fichier ou un forwarding cohérent avant d'ouvrir trop de collectes hétérogènes.</w:t>
            </w:r>
          </w:p>
        </w:tc>
      </w:tr>
    </w:tbl>
    <w:p/>
    <w:p>
      <w:pPr>
        <w:pStyle w:val="MiniHeading"/>
        <w:keepNext/>
      </w:pPr>
      <w:r>
        <w:t>Exemple minimal de collecte à réserver aux groupes Linux serveurs</w:t>
      </w:r>
    </w:p>
    <w:tbl>
      <w:tblPr>
        <w:tblW w:type="auto" w:w="0"/>
        <w:jc w:val="center"/>
        <w:tblLook w:firstColumn="1" w:firstRow="1" w:lastColumn="0" w:lastRow="0" w:noHBand="0" w:noVBand="1" w:val="04A0"/>
      </w:tblPr>
      <w:tblGrid>
        <w:gridCol w:w="9866"/>
      </w:tblGrid>
      <w:tr>
        <w:tc>
          <w:tcPr>
            <w:tcW w:type="dxa" w:w="9866"/>
            <w:shd w:val="clear" w:color="auto" w:fill="F7F7F7"/>
            <w:tcMar>
              <w:top w:w="90" w:type="dxa"/>
              <w:start w:w="120" w:type="dxa"/>
              <w:bottom w:w="90" w:type="dxa"/>
              <w:end w:w="120" w:type="dxa"/>
            </w:tcMar>
          </w:tcPr>
          <w:p>
            <w:pPr>
              <w:spacing w:after="0"/>
            </w:pPr>
            <w:r>
              <w:rPr>
                <w:rFonts w:ascii="Courier New" w:hAnsi="Courier New"/>
                <w:color w:val="1F2933"/>
                <w:sz w:val="17"/>
              </w:rPr>
              <w:t>&lt;localfile&gt;</w:t>
            </w:r>
            <w:r>
              <w:br/>
            </w:r>
            <w:r>
              <w:rPr>
                <w:rFonts w:ascii="Courier New" w:hAnsi="Courier New"/>
                <w:color w:val="1F2933"/>
                <w:sz w:val="17"/>
              </w:rPr>
              <w:t xml:space="preserve">  &lt;location&gt;/var/log/auth.log&lt;/location&gt;</w:t>
            </w:r>
            <w:r>
              <w:br/>
            </w:r>
            <w:r>
              <w:rPr>
                <w:rFonts w:ascii="Courier New" w:hAnsi="Courier New"/>
                <w:color w:val="1F2933"/>
                <w:sz w:val="17"/>
              </w:rPr>
              <w:t xml:space="preserve">  &lt;log_format&gt;syslog&lt;/log_format&gt;</w:t>
            </w:r>
            <w:r>
              <w:br/>
            </w:r>
            <w:r>
              <w:rPr>
                <w:rFonts w:ascii="Courier New" w:hAnsi="Courier New"/>
                <w:color w:val="1F2933"/>
                <w:sz w:val="17"/>
              </w:rPr>
              <w:t>&lt;/localfile&gt;</w:t>
            </w:r>
            <w:r>
              <w:br/>
            </w:r>
            <w:r>
              <w:rPr>
                <w:rFonts w:ascii="Courier New" w:hAnsi="Courier New"/>
                <w:color w:val="1F2933"/>
                <w:sz w:val="17"/>
              </w:rPr>
              <w:t>&lt;localfile&gt;</w:t>
            </w:r>
            <w:r>
              <w:br/>
            </w:r>
            <w:r>
              <w:rPr>
                <w:rFonts w:ascii="Courier New" w:hAnsi="Courier New"/>
                <w:color w:val="1F2933"/>
                <w:sz w:val="17"/>
              </w:rPr>
              <w:t xml:space="preserve">  &lt;location&gt;/var/log/syslog&lt;/location&gt;</w:t>
            </w:r>
            <w:r>
              <w:br/>
            </w:r>
            <w:r>
              <w:rPr>
                <w:rFonts w:ascii="Courier New" w:hAnsi="Courier New"/>
                <w:color w:val="1F2933"/>
                <w:sz w:val="17"/>
              </w:rPr>
              <w:t xml:space="preserve">  &lt;log_format&gt;syslog&lt;/log_format&gt;</w:t>
            </w:r>
            <w:r>
              <w:br/>
            </w:r>
            <w:r>
              <w:rPr>
                <w:rFonts w:ascii="Courier New" w:hAnsi="Courier New"/>
                <w:color w:val="1F2933"/>
                <w:sz w:val="17"/>
              </w:rPr>
              <w:t>&lt;/localfile&gt;</w:t>
            </w:r>
            <w:r>
              <w:br/>
            </w:r>
            <w:r>
              <w:rPr>
                <w:rFonts w:ascii="Courier New" w:hAnsi="Courier New"/>
                <w:color w:val="1F2933"/>
                <w:sz w:val="17"/>
              </w:rPr>
              <w:t>&lt;localfile&gt;</w:t>
            </w:r>
            <w:r>
              <w:br/>
            </w:r>
            <w:r>
              <w:rPr>
                <w:rFonts w:ascii="Courier New" w:hAnsi="Courier New"/>
                <w:color w:val="1F2933"/>
                <w:sz w:val="17"/>
              </w:rPr>
              <w:t xml:space="preserve">  &lt;location&gt;/var/log/secure&lt;/location&gt;</w:t>
            </w:r>
            <w:r>
              <w:br/>
            </w:r>
            <w:r>
              <w:rPr>
                <w:rFonts w:ascii="Courier New" w:hAnsi="Courier New"/>
                <w:color w:val="1F2933"/>
                <w:sz w:val="17"/>
              </w:rPr>
              <w:t xml:space="preserve">  &lt;log_format&gt;syslog&lt;/log_format&gt;</w:t>
            </w:r>
            <w:r>
              <w:br/>
            </w:r>
            <w:r>
              <w:rPr>
                <w:rFonts w:ascii="Courier New" w:hAnsi="Courier New"/>
                <w:color w:val="1F2933"/>
                <w:sz w:val="17"/>
              </w:rPr>
              <w:t>&lt;/localfile&gt;</w:t>
            </w:r>
          </w:p>
        </w:tc>
      </w:tr>
    </w:tbl>
    <w:p/>
    <w:p>
      <w:pPr>
        <w:pStyle w:val="Heading2"/>
        <w:keepNext/>
        <w:spacing w:before="200"/>
      </w:pPr>
      <w:r>
        <w:t>14.4 Gestion des faux positifs, des exceptions et du bruit</w:t>
      </w:r>
    </w:p>
    <w:p>
      <w:pPr>
        <w:spacing w:after="120"/>
      </w:pPr>
      <w:r>
        <w:rPr>
          <w:rFonts w:ascii="Arial" w:hAnsi="Arial"/>
          <w:sz w:val="20"/>
        </w:rPr>
        <w:t>La gestion des faux positifs doit être traitée comme un processus d'ingénierie. Une alerte n'est pas 'mauvaise' parce qu'elle remonte souvent; elle devient mauvaise lorsqu'elle fait perdre du temps, brouille les priorités ou masque un signal plus important. Dans un contexte Obeo, avec beaucoup de Linux, d'open source et d'usages techniques légitimes, ce travail est incontournable.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Situation</w:t>
            </w:r>
          </w:p>
        </w:tc>
        <w:tc>
          <w:tcPr>
            <w:tcW w:type="dxa" w:w="3742"/>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Réponse recommandée</w:t>
            </w:r>
          </w:p>
        </w:tc>
        <w:tc>
          <w:tcPr>
            <w:tcW w:type="dxa" w:w="28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Ce qu'il faut éviter</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Activité admin légitime récurrente</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Créer une exception ciblée par hôte, utilisateur ou plage de maintenance; réduire le niveau si nécessaire.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Désactiver toute une famille de règles SSH, sudo ou PAM.</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FIM bruyante sur caches, build, logs ou temporaires</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Ignorer les chemins non utiles, limiter diff, réserver whodata aux répertoires sensibles.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Activer whodata partout ou couper la FIM globalement.</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Compte de service connu mais très bavard</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Utiliser des CDB lists ou des règles locales ciblées pour les comptes approuvés.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Multiplier les exceptions en dur dans plusieurs fichiers sans gouvernance.</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Logs applicatifs mal parsés</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Corriger d'abord le décodeur, puis ajuster la règle seulement après validation.</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Baisser les niveaux sans comprendre le parsing réel.</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Événements cloud très nombreux mais peu utiles</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Filtrer le périmètre de collecte ou limiter les notifications aux actions sensibles.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Notifier par email chaque événement brut.</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Alerte vulnérabilité jugée discutable</w:t>
            </w:r>
          </w:p>
        </w:tc>
        <w:tc>
          <w:tcPr>
            <w:tcW w:type="dxa" w:w="3742"/>
            <w:vAlign w:val="center"/>
            <w:tcMar>
              <w:top w:w="90" w:type="dxa"/>
              <w:start w:w="110" w:type="dxa"/>
              <w:bottom w:w="90" w:type="dxa"/>
              <w:end w:w="110" w:type="dxa"/>
            </w:tcMar>
          </w:tcPr>
          <w:p>
            <w:pPr>
              <w:spacing w:before="0" w:after="0" w:line="264" w:lineRule="auto"/>
              <w:jc w:val="left"/>
            </w:pPr>
            <w:r>
              <w:rPr>
                <w:rFonts w:ascii="Arial" w:hAnsi="Arial"/>
                <w:color w:val="1F2933"/>
                <w:sz w:val="18"/>
              </w:rPr>
              <w:t>Vérifier l'inventaire paquet/OS, la portée réelle, le correctif disponible et le SLA interne.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Supprimer le signal sans analyse ni revue ultérieure.</w:t>
            </w:r>
          </w:p>
        </w:tc>
      </w:tr>
    </w:tbl>
    <w:p/>
    <w:p>
      <w:pPr>
        <w:pStyle w:val="MiniHeading"/>
        <w:keepNext/>
      </w:pPr>
      <w:r>
        <w:t>Workflow de qualification d'un faux positif</w:t>
      </w:r>
    </w:p>
    <w:p>
      <w:pPr>
        <w:spacing w:after="40"/>
        <w:ind w:left="198" w:hanging="198"/>
      </w:pPr>
      <w:r>
        <w:t>1. Qualifier précisément l'événement: quel hôte, quel utilisateur, quelle heure, quel impact, quelle fréquence.</w:t>
      </w:r>
    </w:p>
    <w:p>
      <w:pPr>
        <w:spacing w:after="40"/>
        <w:ind w:left="198" w:hanging="198"/>
      </w:pPr>
      <w:r>
        <w:t>2. Récupérer un exemple de log brut depuis Discover ou depuis la source d'origine.</w:t>
      </w:r>
    </w:p>
    <w:p>
      <w:pPr>
        <w:spacing w:after="40"/>
        <w:ind w:left="198" w:hanging="198"/>
      </w:pPr>
      <w:r>
        <w:t>3. Valider le parsing et la règle avec wazuh-logtest, de préférence en mode verbeux.</w:t>
      </w:r>
    </w:p>
    <w:p>
      <w:pPr>
        <w:spacing w:after="40"/>
        <w:ind w:left="198" w:hanging="198"/>
      </w:pPr>
      <w:r>
        <w:t>4. Choisir le bon levier: décodeur, règle locale, overwrite ciblé, CDB list, ignore de chemin, réduction de niveau, filtrage de notification.</w:t>
      </w:r>
    </w:p>
    <w:p>
      <w:pPr>
        <w:spacing w:after="40"/>
        <w:ind w:left="198" w:hanging="198"/>
      </w:pPr>
      <w:r>
        <w:t>5. Documenter l'exception avec un propriétaire, un périmètre, une date d'expiration ou au minimum une date de revue.</w:t>
      </w:r>
    </w:p>
    <w:p>
      <w:pPr>
        <w:spacing w:after="40"/>
        <w:ind w:left="198" w:hanging="198"/>
      </w:pPr>
      <w:r>
        <w:t>6. Mesurer l'effet en production pilote avant diffusion large, puis contrôler que le faux positif diminue sans créer de faux négatifs évidents.</w:t>
      </w:r>
    </w:p>
    <w:p>
      <w:pPr>
        <w:spacing w:after="120"/>
      </w:pPr>
      <w:r>
        <w:rPr>
          <w:rFonts w:ascii="Arial" w:hAnsi="Arial"/>
          <w:sz w:val="20"/>
        </w:rPr>
        <w:t>Les règles locales doivent rester dans l'espace /var/ossec/etc/rules/ et les décodeurs locaux dans /var/ossec/etc/decoders/. Pour les règles personnalisées, il est recommandé d'utiliser des identifiants compris entre 100000 et 120000. Toute modification d'une règle native doit passer par un fichier local avec overwrite="yes", jamais par l'édition directe du ruleset embarqué.</w:t>
      </w:r>
    </w:p>
    <w:p>
      <w:pPr>
        <w:pStyle w:val="MiniHeading"/>
        <w:keepNext/>
      </w:pPr>
      <w:r>
        <w:t>Exemple d'exception ciblée dans local_rules.xml</w:t>
      </w:r>
    </w:p>
    <w:tbl>
      <w:tblPr>
        <w:tblW w:type="auto" w:w="0"/>
        <w:jc w:val="center"/>
        <w:tblLook w:firstColumn="1" w:firstRow="1" w:lastColumn="0" w:lastRow="0" w:noHBand="0" w:noVBand="1" w:val="04A0"/>
      </w:tblPr>
      <w:tblGrid>
        <w:gridCol w:w="9866"/>
      </w:tblGrid>
      <w:tr>
        <w:tc>
          <w:tcPr>
            <w:tcW w:type="dxa" w:w="9866"/>
            <w:shd w:val="clear" w:color="auto" w:fill="F7F7F7"/>
            <w:tcMar>
              <w:top w:w="90" w:type="dxa"/>
              <w:start w:w="120" w:type="dxa"/>
              <w:bottom w:w="90" w:type="dxa"/>
              <w:end w:w="120" w:type="dxa"/>
            </w:tcMar>
          </w:tcPr>
          <w:p>
            <w:pPr>
              <w:spacing w:after="0"/>
            </w:pPr>
            <w:r>
              <w:rPr>
                <w:rFonts w:ascii="Courier New" w:hAnsi="Courier New"/>
                <w:color w:val="1F2933"/>
                <w:sz w:val="17"/>
              </w:rPr>
              <w:t>&lt;group name="obeo_exceptions,"&gt;</w:t>
            </w:r>
            <w:r>
              <w:br/>
            </w:r>
            <w:r>
              <w:rPr>
                <w:rFonts w:ascii="Courier New" w:hAnsi="Courier New"/>
                <w:color w:val="1F2933"/>
                <w:sz w:val="17"/>
              </w:rPr>
              <w:t xml:space="preserve">  &lt;rule id="100120" level="0"&gt;</w:t>
            </w:r>
            <w:r>
              <w:br/>
            </w:r>
            <w:r>
              <w:rPr>
                <w:rFonts w:ascii="Courier New" w:hAnsi="Courier New"/>
                <w:color w:val="1F2933"/>
                <w:sz w:val="17"/>
              </w:rPr>
              <w:t xml:space="preserve">    &lt;program_name&gt;sshd&lt;/program_name&gt;</w:t>
            </w:r>
            <w:r>
              <w:br/>
            </w:r>
            <w:r>
              <w:rPr>
                <w:rFonts w:ascii="Courier New" w:hAnsi="Courier New"/>
                <w:color w:val="1F2933"/>
                <w:sz w:val="17"/>
              </w:rPr>
              <w:t xml:space="preserve">    &lt;match&gt;Accepted publickey for backup-bot&lt;/match&gt;</w:t>
            </w:r>
            <w:r>
              <w:br/>
            </w:r>
            <w:r>
              <w:rPr>
                <w:rFonts w:ascii="Courier New" w:hAnsi="Courier New"/>
                <w:color w:val="1F2933"/>
                <w:sz w:val="17"/>
              </w:rPr>
              <w:t xml:space="preserve">    &lt;field name="agent.name"&gt;^srv-bastion-01$&lt;/field&gt;</w:t>
            </w:r>
            <w:r>
              <w:br/>
            </w:r>
            <w:r>
              <w:rPr>
                <w:rFonts w:ascii="Courier New" w:hAnsi="Courier New"/>
                <w:color w:val="1F2933"/>
                <w:sz w:val="17"/>
              </w:rPr>
              <w:t xml:space="preserve">    &lt;description&gt;Connexion attendue du compte de sauvegarde sur le bastion&lt;/description&gt;</w:t>
            </w:r>
            <w:r>
              <w:br/>
            </w:r>
            <w:r>
              <w:rPr>
                <w:rFonts w:ascii="Courier New" w:hAnsi="Courier New"/>
                <w:color w:val="1F2933"/>
                <w:sz w:val="17"/>
              </w:rPr>
              <w:t xml:space="preserve">  &lt;/rule&gt;</w:t>
            </w:r>
            <w:r>
              <w:br/>
            </w:r>
            <w:r>
              <w:rPr>
                <w:rFonts w:ascii="Courier New" w:hAnsi="Courier New"/>
                <w:color w:val="1F2933"/>
                <w:sz w:val="17"/>
              </w:rPr>
              <w:t>&lt;/group&gt;</w:t>
            </w:r>
          </w:p>
        </w:tc>
      </w:tr>
    </w:tbl>
    <w:p/>
    <w:p>
      <w:pPr>
        <w:pStyle w:val="MiniHeading"/>
        <w:keepNext/>
      </w:pPr>
      <w:r>
        <w:t>Exemple de CDB list pour comptes approuvés</w:t>
      </w:r>
    </w:p>
    <w:tbl>
      <w:tblPr>
        <w:tblW w:type="auto" w:w="0"/>
        <w:jc w:val="center"/>
        <w:tblLook w:firstColumn="1" w:firstRow="1" w:lastColumn="0" w:lastRow="0" w:noHBand="0" w:noVBand="1" w:val="04A0"/>
      </w:tblPr>
      <w:tblGrid>
        <w:gridCol w:w="9866"/>
      </w:tblGrid>
      <w:tr>
        <w:tc>
          <w:tcPr>
            <w:tcW w:type="dxa" w:w="9866"/>
            <w:shd w:val="clear" w:color="auto" w:fill="F7F7F7"/>
            <w:tcMar>
              <w:top w:w="90" w:type="dxa"/>
              <w:start w:w="120" w:type="dxa"/>
              <w:bottom w:w="90" w:type="dxa"/>
              <w:end w:w="120" w:type="dxa"/>
            </w:tcMar>
          </w:tcPr>
          <w:p>
            <w:pPr>
              <w:spacing w:after="0"/>
            </w:pPr>
            <w:r>
              <w:rPr>
                <w:rFonts w:ascii="Courier New" w:hAnsi="Courier New"/>
                <w:color w:val="1F2933"/>
                <w:sz w:val="17"/>
              </w:rPr>
              <w:t>backup-bot:approved</w:t>
            </w:r>
            <w:r>
              <w:br/>
            </w:r>
            <w:r>
              <w:rPr>
                <w:rFonts w:ascii="Courier New" w:hAnsi="Courier New"/>
                <w:color w:val="1F2933"/>
                <w:sz w:val="17"/>
              </w:rPr>
              <w:t>ansible:approved</w:t>
            </w:r>
            <w:r>
              <w:br/>
            </w:r>
            <w:r>
              <w:rPr>
                <w:rFonts w:ascii="Courier New" w:hAnsi="Courier New"/>
                <w:color w:val="1F2933"/>
                <w:sz w:val="17"/>
              </w:rPr>
              <w:t>svc-monitoring:approved</w:t>
            </w:r>
          </w:p>
        </w:tc>
      </w:tr>
    </w:tbl>
    <w:p/>
    <w:p>
      <w:pPr>
        <w:pStyle w:val="Heading2"/>
        <w:keepNext/>
        <w:spacing w:before="200"/>
      </w:pPr>
      <w:r>
        <w:t>14.5 Cas d'usage de détection prioritaires pour Obeo</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Scénario</w:t>
            </w:r>
          </w:p>
        </w:tc>
        <w:tc>
          <w:tcPr>
            <w:tcW w:type="dxa" w:w="226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Sources</w:t>
            </w:r>
          </w:p>
        </w:tc>
        <w:tc>
          <w:tcPr>
            <w:tcW w:type="dxa" w:w="385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Pourquoi le prioriser</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Brute force SSH ou spray de comptes</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Auth SSH, PAM, réseau</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Détection précoce sur Linux, bastions, hyperviseurs et services exposés.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Connexion root ou sudo inhabituelle</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sudo, auth, bastions</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Suivre les comptes privilégiés, surtout hors fenêtre de maintenance ou depuis un hôte non attendu.</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Modification de /etc/passwd, /etc/shadow, /etc/sudoers, sshd_config</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FIM / whodata</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Changements système très sensibles; alerte quasi immédiate sur tier-1.</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Création ou activation d'un nouveau service systemd / tâche cron</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Logs système, FIM, audit</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Bon indicateur de persistance, de dérive ou de changement hors processus.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Installation ou suppression de paquets sur production</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Syscollector, journaux paquets</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Utile pour suivre la dérive logicielle et corréler avec les vulnérabilités.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Conteneur privilégié, montage sensible, image non approuvée</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Docker listener, daemon Docker</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Cas d'usage important pour les hôtes Docker et les environnements de build.</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Changement GitHub sur permissions, membres, teams ou apps</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GitHub audit log</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Très utile pour les équipes de développement et les dépôts internes sensibles.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Changement IAM, clé, bucket public, firewall cloud, arrêt de logs</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AWS / GCP</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À traiter comme des événements à forte valeur, même si le volume global cloud est élevé.</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Événement sécurité Microsoft ou changement d'administration sensible</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Office 365 / Microsoft Graph</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À relier aux équipes RH, direction et comptes à privilèges cloud.</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Perte de télémétrie d'un agent ou d'une intégration critique</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Wazuh platform / modules cloud</w:t>
            </w:r>
          </w:p>
        </w:tc>
        <w:tc>
          <w:tcPr>
            <w:tcW w:type="dxa" w:w="3855"/>
            <w:vAlign w:val="center"/>
            <w:tcMar>
              <w:top w:w="90" w:type="dxa"/>
              <w:start w:w="110" w:type="dxa"/>
              <w:bottom w:w="90" w:type="dxa"/>
              <w:end w:w="110" w:type="dxa"/>
            </w:tcMar>
          </w:tcPr>
          <w:p>
            <w:pPr>
              <w:spacing w:before="0" w:after="0" w:line="264" w:lineRule="auto"/>
              <w:jc w:val="left"/>
            </w:pPr>
            <w:r>
              <w:rPr>
                <w:rFonts w:ascii="Arial" w:hAnsi="Arial"/>
                <w:color w:val="1F2933"/>
                <w:sz w:val="18"/>
              </w:rPr>
              <w:t>Un silence capteur est souvent aussi important qu'une alerte active.</w:t>
            </w:r>
          </w:p>
        </w:tc>
      </w:tr>
    </w:tbl>
    <w:p/>
    <w:tbl>
      <w:tblPr>
        <w:tblW w:type="auto" w:w="0"/>
        <w:jc w:val="center"/>
        <w:tblLook w:firstColumn="1" w:firstRow="1" w:lastColumn="0" w:lastRow="0" w:noHBand="0" w:noVBand="1" w:val="04A0"/>
      </w:tblPr>
      <w:tblGrid>
        <w:gridCol w:w="9866"/>
      </w:tblGrid>
      <w:tr>
        <w:tc>
          <w:tcPr>
            <w:tcW w:type="dxa" w:w="9866"/>
            <w:shd w:val="clear" w:color="auto" w:fill="FFF2CC"/>
            <w:tcMar>
              <w:top w:w="110" w:type="dxa"/>
              <w:start w:w="120" w:type="dxa"/>
              <w:bottom w:w="110" w:type="dxa"/>
              <w:end w:w="120" w:type="dxa"/>
            </w:tcMar>
          </w:tcPr>
          <w:p>
            <w:pPr>
              <w:pStyle w:val="MiniHeading"/>
            </w:pPr>
            <w:r>
              <w:t>Principe de priorisation</w:t>
            </w:r>
          </w:p>
          <w:p>
            <w:pPr>
              <w:spacing w:after="40"/>
              <w:ind w:left="142" w:hanging="142"/>
            </w:pPr>
            <w:r>
              <w:t>• Commencer par les scénarios qui protègent les comptes privilégiés, les changements système, les hyperviseurs, les services exposés et les flux cloud.</w:t>
            </w:r>
          </w:p>
          <w:p>
            <w:pPr>
              <w:spacing w:after="40"/>
              <w:ind w:left="142" w:hanging="142"/>
            </w:pPr>
            <w:r>
              <w:t>• Ne pas chercher une couverture maximale en une fois: mieux vaut dix cas d'usage fiables que cinquante règles très bruyantes.</w:t>
            </w:r>
          </w:p>
        </w:tc>
      </w:tr>
    </w:tbl>
    <w:p/>
    <w:p>
      <w:pPr>
        <w:pStyle w:val="Heading2"/>
        <w:keepNext/>
        <w:spacing w:before="200"/>
      </w:pPr>
      <w:r>
        <w:t>14.6 Dashboards, monitors et vues d'exploitation à ajouter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Dashboard</w:t>
            </w:r>
          </w:p>
        </w:tc>
        <w:tc>
          <w:tcPr>
            <w:tcW w:type="dxa" w:w="2154"/>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Public</w:t>
            </w:r>
          </w:p>
        </w:tc>
        <w:tc>
          <w:tcPr>
            <w:tcW w:type="dxa" w:w="4422"/>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Contenu minimal</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Exploitation Linux</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Infra / exploitation / SOC</w:t>
            </w:r>
          </w:p>
        </w:tc>
        <w:tc>
          <w:tcPr>
            <w:tcW w:type="dxa" w:w="4422"/>
            <w:vAlign w:val="center"/>
            <w:tcMar>
              <w:top w:w="90" w:type="dxa"/>
              <w:start w:w="110" w:type="dxa"/>
              <w:bottom w:w="90" w:type="dxa"/>
              <w:end w:w="110" w:type="dxa"/>
            </w:tcMar>
          </w:tcPr>
          <w:p>
            <w:pPr>
              <w:spacing w:before="0" w:after="0" w:line="264" w:lineRule="auto"/>
              <w:jc w:val="left"/>
            </w:pPr>
            <w:r>
              <w:rPr>
                <w:rFonts w:ascii="Arial" w:hAnsi="Arial"/>
                <w:color w:val="1F2933"/>
                <w:sz w:val="18"/>
              </w:rPr>
              <w:t>Top alertes SSH, sudo, changements FIM critiques, agents muets, hôtes les plus bruyants, erreurs système.</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Développement / DevSecOps</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Équipes dev et plateforme</w:t>
            </w:r>
          </w:p>
        </w:tc>
        <w:tc>
          <w:tcPr>
            <w:tcW w:type="dxa" w:w="4422"/>
            <w:vAlign w:val="center"/>
            <w:tcMar>
              <w:top w:w="90" w:type="dxa"/>
              <w:start w:w="110" w:type="dxa"/>
              <w:bottom w:w="90" w:type="dxa"/>
              <w:end w:w="110" w:type="dxa"/>
            </w:tcMar>
          </w:tcPr>
          <w:p>
            <w:pPr>
              <w:spacing w:before="0" w:after="0" w:line="264" w:lineRule="auto"/>
              <w:jc w:val="left"/>
            </w:pPr>
            <w:r>
              <w:rPr>
                <w:rFonts w:ascii="Arial" w:hAnsi="Arial"/>
                <w:color w:val="1F2933"/>
                <w:sz w:val="18"/>
              </w:rPr>
              <w:t>GitHub, hôtes Docker, CI/CD, changements de permissions, inventaire logiciel, dérive des postes techniques.</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Conformité et hygiène</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RSSI / conformité / managers</w:t>
            </w:r>
          </w:p>
        </w:tc>
        <w:tc>
          <w:tcPr>
            <w:tcW w:type="dxa" w:w="4422"/>
            <w:vAlign w:val="center"/>
            <w:tcMar>
              <w:top w:w="90" w:type="dxa"/>
              <w:start w:w="110" w:type="dxa"/>
              <w:bottom w:w="90" w:type="dxa"/>
              <w:end w:w="110" w:type="dxa"/>
            </w:tcMar>
          </w:tcPr>
          <w:p>
            <w:pPr>
              <w:spacing w:before="0" w:after="0" w:line="264" w:lineRule="auto"/>
              <w:jc w:val="left"/>
            </w:pPr>
            <w:r>
              <w:rPr>
                <w:rFonts w:ascii="Arial" w:hAnsi="Arial"/>
                <w:color w:val="1F2933"/>
                <w:sz w:val="18"/>
              </w:rPr>
              <w:t>SCA critique, inventaire, vulnérabilités par criticité, couverture agents, exceptions documentées.</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Cloud et SaaS</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SOC / cloud / admins M365</w:t>
            </w:r>
          </w:p>
        </w:tc>
        <w:tc>
          <w:tcPr>
            <w:tcW w:type="dxa" w:w="4422"/>
            <w:vAlign w:val="center"/>
            <w:tcMar>
              <w:top w:w="90" w:type="dxa"/>
              <w:start w:w="110" w:type="dxa"/>
              <w:bottom w:w="90" w:type="dxa"/>
              <w:end w:w="110" w:type="dxa"/>
            </w:tcMar>
          </w:tcPr>
          <w:p>
            <w:pPr>
              <w:spacing w:before="0" w:after="0" w:line="264" w:lineRule="auto"/>
              <w:jc w:val="left"/>
            </w:pPr>
            <w:r>
              <w:rPr>
                <w:rFonts w:ascii="Arial" w:hAnsi="Arial"/>
                <w:color w:val="1F2933"/>
                <w:sz w:val="18"/>
              </w:rPr>
              <w:t>AWS, GCP, GitHub, Office 365, Microsoft Graph, état des intégrations et fraîcheur des flux.</w:t>
            </w:r>
          </w:p>
        </w:tc>
      </w:tr>
      <w:tr>
        <w:tc>
          <w:tcPr>
            <w:tcW w:type="dxa" w:w="2381"/>
            <w:vAlign w:val="center"/>
            <w:tcMar>
              <w:top w:w="90" w:type="dxa"/>
              <w:start w:w="110" w:type="dxa"/>
              <w:bottom w:w="90" w:type="dxa"/>
              <w:end w:w="110" w:type="dxa"/>
            </w:tcMar>
          </w:tcPr>
          <w:p>
            <w:pPr>
              <w:spacing w:before="0" w:after="0" w:line="264" w:lineRule="auto"/>
              <w:jc w:val="left"/>
            </w:pPr>
            <w:r>
              <w:rPr>
                <w:rFonts w:ascii="Arial" w:hAnsi="Arial"/>
                <w:color w:val="1F2933"/>
                <w:sz w:val="18"/>
              </w:rPr>
              <w:t>Direction / synthèse</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Management</w:t>
            </w:r>
          </w:p>
        </w:tc>
        <w:tc>
          <w:tcPr>
            <w:tcW w:type="dxa" w:w="4422"/>
            <w:vAlign w:val="center"/>
            <w:tcMar>
              <w:top w:w="90" w:type="dxa"/>
              <w:start w:w="110" w:type="dxa"/>
              <w:bottom w:w="90" w:type="dxa"/>
              <w:end w:w="110" w:type="dxa"/>
            </w:tcMar>
          </w:tcPr>
          <w:p>
            <w:pPr>
              <w:spacing w:before="0" w:after="0" w:line="264" w:lineRule="auto"/>
              <w:jc w:val="left"/>
            </w:pPr>
            <w:r>
              <w:rPr>
                <w:rFonts w:ascii="Arial" w:hAnsi="Arial"/>
                <w:color w:val="1F2933"/>
                <w:sz w:val="18"/>
              </w:rPr>
              <w:t>Quelques indicateurs lisibles: tendance 30 jours, top risques, couverture agents, vulnérabilités critiques, incidents majeurs.</w:t>
            </w:r>
          </w:p>
        </w:tc>
      </w:tr>
    </w:tbl>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Monitor</w:t>
            </w:r>
          </w:p>
        </w:tc>
        <w:tc>
          <w:tcPr>
            <w:tcW w:type="dxa" w:w="4139"/>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Condition</w:t>
            </w:r>
          </w:p>
        </w:tc>
        <w:tc>
          <w:tcPr>
            <w:tcW w:type="dxa" w:w="226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Canal conseillé</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Agent critique muet</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Plus de données depuis 15 min sur un hôte tier-1</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exploitation + SOC</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Échec d'intégration cloud/SaaS</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Aucun événement nouveau depuis 60 min ou erreurs d'authentification</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SOC / plateforme</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Changement FIM sensible</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Modification sur sudoers, passwd, shadow, sshd_config, /etc/xen, secrets</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SOC prioritaire</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Volume d'échecs SSH</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Dépassement d'un seuil sur bastion, hyperviseur ou service exposé</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SOC + exploitation</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Élévation de privilège sensible</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sudo/root sur tier-1 ou hors plage de maintenance</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SOC</w:t>
            </w:r>
          </w:p>
        </w:tc>
      </w:tr>
      <w:tr>
        <w:tc>
          <w:tcPr>
            <w:tcW w:type="dxa" w:w="2551"/>
            <w:vAlign w:val="center"/>
            <w:tcMar>
              <w:top w:w="90" w:type="dxa"/>
              <w:start w:w="110" w:type="dxa"/>
              <w:bottom w:w="90" w:type="dxa"/>
              <w:end w:w="110" w:type="dxa"/>
            </w:tcMar>
          </w:tcPr>
          <w:p>
            <w:pPr>
              <w:spacing w:before="0" w:after="0" w:line="264" w:lineRule="auto"/>
              <w:jc w:val="left"/>
            </w:pPr>
            <w:r>
              <w:rPr>
                <w:rFonts w:ascii="Arial" w:hAnsi="Arial"/>
                <w:color w:val="1F2933"/>
                <w:sz w:val="18"/>
              </w:rPr>
              <w:t>Vulnérabilité critique hors SLA</w:t>
            </w:r>
          </w:p>
        </w:tc>
        <w:tc>
          <w:tcPr>
            <w:tcW w:type="dxa" w:w="4139"/>
            <w:vAlign w:val="center"/>
            <w:tcMar>
              <w:top w:w="90" w:type="dxa"/>
              <w:start w:w="110" w:type="dxa"/>
              <w:bottom w:w="90" w:type="dxa"/>
              <w:end w:w="110" w:type="dxa"/>
            </w:tcMar>
          </w:tcPr>
          <w:p>
            <w:pPr>
              <w:spacing w:before="0" w:after="0" w:line="264" w:lineRule="auto"/>
              <w:jc w:val="left"/>
            </w:pPr>
            <w:r>
              <w:rPr>
                <w:rFonts w:ascii="Arial" w:hAnsi="Arial"/>
                <w:color w:val="1F2933"/>
                <w:sz w:val="18"/>
              </w:rPr>
              <w:t>CVE critique persistante sur serveur tier-1 au-delà du délai fixé</w:t>
            </w:r>
          </w:p>
        </w:tc>
        <w:tc>
          <w:tcPr>
            <w:tcW w:type="dxa" w:w="2268"/>
            <w:vAlign w:val="center"/>
            <w:tcMar>
              <w:top w:w="90" w:type="dxa"/>
              <w:start w:w="110" w:type="dxa"/>
              <w:bottom w:w="90" w:type="dxa"/>
              <w:end w:w="110" w:type="dxa"/>
            </w:tcMar>
          </w:tcPr>
          <w:p>
            <w:pPr>
              <w:spacing w:before="0" w:after="0" w:line="264" w:lineRule="auto"/>
              <w:jc w:val="left"/>
            </w:pPr>
            <w:r>
              <w:rPr>
                <w:rFonts w:ascii="Arial" w:hAnsi="Arial"/>
                <w:color w:val="1F2933"/>
                <w:sz w:val="18"/>
              </w:rPr>
              <w:t>Canal exploitation + management technique</w:t>
            </w:r>
          </w:p>
        </w:tc>
      </w:tr>
    </w:tbl>
    <w:p/>
    <w:p>
      <w:pPr>
        <w:pStyle w:val="Heading2"/>
        <w:keepNext/>
        <w:spacing w:before="200"/>
      </w:pPr>
      <w:r>
        <w:t>14.7 Durcissement, sauvegarde et maintien en condition de sécurité</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4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Contrôle</w:t>
            </w:r>
          </w:p>
        </w:tc>
        <w:tc>
          <w:tcPr>
            <w:tcW w:type="dxa" w:w="4762"/>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Exigence</w:t>
            </w:r>
          </w:p>
        </w:tc>
        <w:tc>
          <w:tcPr>
            <w:tcW w:type="dxa" w:w="2154"/>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Cadence</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Versions</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Conserver les composants centraux sur le même patch level; le manager doit être de version égale ou supérieure aux agents.</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À chaque upgrade</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Accès et identité</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Comptes nominatifs, RBAC, SSO/MFA si disponible, aucun compte admin partagé.</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Permanent + revue mensuelle</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Sauvegarde configuration</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Sauvegarder /var/ossec/etc, certificats, fichiers de groupes, règles locales, décodeurs et paramètres du dashboard.</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Quotidien</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Sauvegarde données</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Mettre en place des snapshots d'index et vérifier la rétention réelle.</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Quotidien</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Restauration</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Tester la restauration de configuration et d'un jeu d'indices représentatif.</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Trimestriel</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Santé plateforme</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Surveiller disque, JVM, file d'attente, index health, rotation de certificats, fraîcheur des feeds et des intégrations.</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Quotidien</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Change management</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Relire les règles locales et exceptions avant diffusion large; privilégier un groupe pilote.</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Hebdomadaire / à chaque changement</w:t>
            </w:r>
          </w:p>
        </w:tc>
      </w:tr>
      <w:tr>
        <w:tc>
          <w:tcPr>
            <w:tcW w:type="dxa" w:w="2041"/>
            <w:vAlign w:val="center"/>
            <w:tcMar>
              <w:top w:w="90" w:type="dxa"/>
              <w:start w:w="110" w:type="dxa"/>
              <w:bottom w:w="90" w:type="dxa"/>
              <w:end w:w="110" w:type="dxa"/>
            </w:tcMar>
          </w:tcPr>
          <w:p>
            <w:pPr>
              <w:spacing w:before="0" w:after="0" w:line="264" w:lineRule="auto"/>
              <w:jc w:val="left"/>
            </w:pPr>
            <w:r>
              <w:rPr>
                <w:rFonts w:ascii="Arial" w:hAnsi="Arial"/>
                <w:color w:val="1F2933"/>
                <w:sz w:val="18"/>
              </w:rPr>
              <w:t>Fonctions sensibles</w:t>
            </w:r>
          </w:p>
        </w:tc>
        <w:tc>
          <w:tcPr>
            <w:tcW w:type="dxa" w:w="4762"/>
            <w:vAlign w:val="center"/>
            <w:tcMar>
              <w:top w:w="90" w:type="dxa"/>
              <w:start w:w="110" w:type="dxa"/>
              <w:bottom w:w="90" w:type="dxa"/>
              <w:end w:w="110" w:type="dxa"/>
            </w:tcMar>
          </w:tcPr>
          <w:p>
            <w:pPr>
              <w:spacing w:before="0" w:after="0" w:line="264" w:lineRule="auto"/>
              <w:jc w:val="left"/>
            </w:pPr>
            <w:r>
              <w:rPr>
                <w:rFonts w:ascii="Arial" w:hAnsi="Arial"/>
                <w:color w:val="1F2933"/>
                <w:sz w:val="18"/>
              </w:rPr>
              <w:t>Laisser remote commands désactivé par défaut; n'ouvrir que sur justification et périmètre limité.</w:t>
            </w:r>
          </w:p>
        </w:tc>
        <w:tc>
          <w:tcPr>
            <w:tcW w:type="dxa" w:w="2154"/>
            <w:vAlign w:val="center"/>
            <w:tcMar>
              <w:top w:w="90" w:type="dxa"/>
              <w:start w:w="110" w:type="dxa"/>
              <w:bottom w:w="90" w:type="dxa"/>
              <w:end w:w="110" w:type="dxa"/>
            </w:tcMar>
          </w:tcPr>
          <w:p>
            <w:pPr>
              <w:spacing w:before="0" w:after="0" w:line="264" w:lineRule="auto"/>
              <w:jc w:val="left"/>
            </w:pPr>
            <w:r>
              <w:rPr>
                <w:rFonts w:ascii="Arial" w:hAnsi="Arial"/>
                <w:color w:val="1F2933"/>
                <w:sz w:val="18"/>
              </w:rPr>
              <w:t>Permanent</w:t>
            </w:r>
          </w:p>
        </w:tc>
      </w:tr>
    </w:tbl>
    <w:p/>
    <w:p>
      <w:pPr>
        <w:spacing w:after="120"/>
      </w:pPr>
      <w:r>
        <w:rPr>
          <w:rFonts w:ascii="Arial" w:hAnsi="Arial"/>
          <w:sz w:val="20"/>
        </w:rPr>
        <w:t>La plateforme Wazuh doit elle-même être supervisée comme un actif critique. Il est recommandé d'ajouter des vues ou des monitors spécifiques sur l'état des services, la consommation disque, la santé de l'indexer, la rotation des certificats, la fraîcheur des flux cloud et la réussite des sauvegardes. Un déploiement très complet mais non surveillé se dégrade vite.</w:t>
      </w:r>
    </w:p>
    <w:p>
      <w:pPr>
        <w:pStyle w:val="Heading2"/>
        <w:keepNext/>
        <w:spacing w:before="200"/>
      </w:pPr>
      <w:r>
        <w:t>14.8 Exploitation quotidienne, hebdomadaire et mensuelle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701"/>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Cadence</w:t>
            </w:r>
          </w:p>
        </w:tc>
        <w:tc>
          <w:tcPr>
            <w:tcW w:type="dxa" w:w="7257"/>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Activités minimales attendues</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Quotidien</w:t>
            </w:r>
          </w:p>
        </w:tc>
        <w:tc>
          <w:tcPr>
            <w:tcW w:type="dxa" w:w="7257"/>
            <w:vAlign w:val="center"/>
            <w:tcMar>
              <w:top w:w="90" w:type="dxa"/>
              <w:start w:w="110" w:type="dxa"/>
              <w:bottom w:w="90" w:type="dxa"/>
              <w:end w:w="110" w:type="dxa"/>
            </w:tcMar>
          </w:tcPr>
          <w:p>
            <w:pPr>
              <w:spacing w:before="0" w:after="0" w:line="264" w:lineRule="auto"/>
              <w:jc w:val="left"/>
            </w:pPr>
            <w:r>
              <w:rPr>
                <w:rFonts w:ascii="Arial" w:hAnsi="Arial"/>
                <w:color w:val="1F2933"/>
                <w:sz w:val="18"/>
              </w:rPr>
              <w:t>Vérifier les monitors rouges, les agents critiques muets, les erreurs d'ingestion, les changements FIM sensibles, les pics d'authentification et les intégrations cloud/SaaS en défaut.</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Hebdomadaire</w:t>
            </w:r>
          </w:p>
        </w:tc>
        <w:tc>
          <w:tcPr>
            <w:tcW w:type="dxa" w:w="7257"/>
            <w:vAlign w:val="center"/>
            <w:tcMar>
              <w:top w:w="90" w:type="dxa"/>
              <w:start w:w="110" w:type="dxa"/>
              <w:bottom w:w="90" w:type="dxa"/>
              <w:end w:w="110" w:type="dxa"/>
            </w:tcMar>
          </w:tcPr>
          <w:p>
            <w:pPr>
              <w:spacing w:before="0" w:after="0" w:line="264" w:lineRule="auto"/>
              <w:jc w:val="left"/>
            </w:pPr>
            <w:r>
              <w:rPr>
                <w:rFonts w:ascii="Arial" w:hAnsi="Arial"/>
                <w:color w:val="1F2933"/>
                <w:sz w:val="18"/>
              </w:rPr>
              <w:t>Revoir le top des règles bruyantes, les faux positifs ouverts, les exceptions arrivant à échéance, les vulnérabilités critiques et les écarts SCA majeurs.</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Mensuel</w:t>
            </w:r>
          </w:p>
        </w:tc>
        <w:tc>
          <w:tcPr>
            <w:tcW w:type="dxa" w:w="7257"/>
            <w:vAlign w:val="center"/>
            <w:tcMar>
              <w:top w:w="90" w:type="dxa"/>
              <w:start w:w="110" w:type="dxa"/>
              <w:bottom w:w="90" w:type="dxa"/>
              <w:end w:w="110" w:type="dxa"/>
            </w:tcMar>
          </w:tcPr>
          <w:p>
            <w:pPr>
              <w:spacing w:before="0" w:after="0" w:line="264" w:lineRule="auto"/>
              <w:jc w:val="left"/>
            </w:pPr>
            <w:r>
              <w:rPr>
                <w:rFonts w:ascii="Arial" w:hAnsi="Arial"/>
                <w:color w:val="1F2933"/>
                <w:sz w:val="18"/>
              </w:rPr>
              <w:t>Revoir les rôles et accès dashboard, la capacité stockage, la qualité des dashboards, les rapports récurrents et la couverture réelle des agents par périmètre.</w:t>
            </w:r>
          </w:p>
        </w:tc>
      </w:tr>
      <w:tr>
        <w:tc>
          <w:tcPr>
            <w:tcW w:type="dxa" w:w="1701"/>
            <w:vAlign w:val="center"/>
            <w:tcMar>
              <w:top w:w="90" w:type="dxa"/>
              <w:start w:w="110" w:type="dxa"/>
              <w:bottom w:w="90" w:type="dxa"/>
              <w:end w:w="110" w:type="dxa"/>
            </w:tcMar>
          </w:tcPr>
          <w:p>
            <w:pPr>
              <w:spacing w:before="0" w:after="0" w:line="264" w:lineRule="auto"/>
              <w:jc w:val="left"/>
            </w:pPr>
            <w:r>
              <w:rPr>
                <w:rFonts w:ascii="Arial" w:hAnsi="Arial"/>
                <w:color w:val="1F2933"/>
                <w:sz w:val="18"/>
              </w:rPr>
              <w:t>Trimestriel</w:t>
            </w:r>
          </w:p>
        </w:tc>
        <w:tc>
          <w:tcPr>
            <w:tcW w:type="dxa" w:w="7257"/>
            <w:vAlign w:val="center"/>
            <w:tcMar>
              <w:top w:w="90" w:type="dxa"/>
              <w:start w:w="110" w:type="dxa"/>
              <w:bottom w:w="90" w:type="dxa"/>
              <w:end w:w="110" w:type="dxa"/>
            </w:tcMar>
          </w:tcPr>
          <w:p>
            <w:pPr>
              <w:spacing w:before="0" w:after="0" w:line="264" w:lineRule="auto"/>
              <w:jc w:val="left"/>
            </w:pPr>
            <w:r>
              <w:rPr>
                <w:rFonts w:ascii="Arial" w:hAnsi="Arial"/>
                <w:color w:val="1F2933"/>
                <w:sz w:val="18"/>
              </w:rPr>
              <w:t>Tester la restauration, réviser les runbooks, nettoyer les exceptions historiques, réexaminer les cas d'usage et recalibrer les seuils d'alerte.</w:t>
            </w:r>
          </w:p>
        </w:tc>
      </w:tr>
    </w:tbl>
    <w:p/>
    <w:p>
      <w:pPr>
        <w:pStyle w:val="Heading2"/>
        <w:keepNext/>
        <w:spacing w:before="200"/>
      </w:pPr>
      <w:r>
        <w:t>14.9 Indicateurs de pilotage à suivre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KPI</w:t>
            </w:r>
          </w:p>
        </w:tc>
        <w:tc>
          <w:tcPr>
            <w:tcW w:type="dxa" w:w="28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Définition</w:t>
            </w:r>
          </w:p>
        </w:tc>
        <w:tc>
          <w:tcPr>
            <w:tcW w:type="dxa" w:w="419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Utilité</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Couverture agents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Actifs supervisés / actifs attendus par périmètre</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Mesurer la réalité de la couverture et identifier les zones aveugles.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Disponibilité capteurs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Part des agents et intégrations sans trou de collecte significatif</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Éviter les faux sentiments de sécurité.</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Bruit opérationnel</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Top règles bruyantes, volume d'alertes de faible valeur, faux positifs confirmés</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Piloter le tuning et préserver le temps analyste.</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Détection prioritaire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Nombre et qualité des alertes sur comptes privilégiés, FIM sensible, cloud identity, Docker, GitHub</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Suivre les cas d'usage réellement utiles à Obeo.</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Conformité technique</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Écarts SCA critiques, couverture par référentiel, hôtes non conformes</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Alimenter le pilotage hygiène et les plans d'actions.</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Vulnérabilités</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CVE critiques par groupe, âge moyen, respect des SLA de correction</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Prioriser la remédiation et objectiver l'effort.</w:t>
            </w:r>
          </w:p>
        </w:tc>
      </w:tr>
      <w:tr>
        <w:tc>
          <w:tcPr>
            <w:tcW w:type="dxa" w:w="1928"/>
            <w:vAlign w:val="center"/>
            <w:tcMar>
              <w:top w:w="90" w:type="dxa"/>
              <w:start w:w="110" w:type="dxa"/>
              <w:bottom w:w="90" w:type="dxa"/>
              <w:end w:w="110" w:type="dxa"/>
            </w:tcMar>
          </w:tcPr>
          <w:p>
            <w:pPr>
              <w:spacing w:before="0" w:after="0" w:line="264" w:lineRule="auto"/>
              <w:jc w:val="left"/>
            </w:pPr>
            <w:r>
              <w:rPr>
                <w:rFonts w:ascii="Arial" w:hAnsi="Arial"/>
                <w:color w:val="1F2933"/>
                <w:sz w:val="18"/>
              </w:rPr>
              <w:t>Qualité exploitation</w:t>
            </w:r>
          </w:p>
        </w:tc>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Runbooks à jour, sauvegardes réussies, tests de restauration, délais de traitement</w:t>
            </w:r>
          </w:p>
        </w:tc>
        <w:tc>
          <w:tcPr>
            <w:tcW w:type="dxa" w:w="4195"/>
            <w:vAlign w:val="center"/>
            <w:tcMar>
              <w:top w:w="90" w:type="dxa"/>
              <w:start w:w="110" w:type="dxa"/>
              <w:bottom w:w="90" w:type="dxa"/>
              <w:end w:w="110" w:type="dxa"/>
            </w:tcMar>
          </w:tcPr>
          <w:p>
            <w:pPr>
              <w:spacing w:before="0" w:after="0" w:line="264" w:lineRule="auto"/>
              <w:jc w:val="left"/>
            </w:pPr>
            <w:r>
              <w:rPr>
                <w:rFonts w:ascii="Arial" w:hAnsi="Arial"/>
                <w:color w:val="1F2933"/>
                <w:sz w:val="18"/>
              </w:rPr>
              <w:t>Mesurer la maturité opérationnelle de la plateforme.</w:t>
            </w:r>
          </w:p>
        </w:tc>
      </w:tr>
    </w:tbl>
    <w:p/>
    <w:p>
      <w:pPr>
        <w:pStyle w:val="Heading2"/>
        <w:keepNext/>
        <w:spacing w:before="200"/>
      </w:pPr>
      <w:r>
        <w:t>14.10 Checklist de bascule en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Point de contrôle</w:t>
            </w:r>
          </w:p>
        </w:tc>
        <w:tc>
          <w:tcPr>
            <w:tcW w:type="dxa" w:w="6123"/>
            <w:vAlign w:val="center"/>
            <w:tcMar>
              <w:top w:w="90" w:type="dxa"/>
              <w:start w:w="110" w:type="dxa"/>
              <w:bottom w:w="90" w:type="dxa"/>
              <w:end w:w="110" w:type="dxa"/>
            </w:tcMar>
            <w:shd w:val="clear" w:color="auto" w:fill="1F6A52"/>
          </w:tcPr>
          <w:p>
            <w:pPr>
              <w:spacing w:before="0" w:after="0" w:line="264" w:lineRule="auto"/>
              <w:jc w:val="center"/>
            </w:pPr>
            <w:r>
              <w:rPr>
                <w:rFonts w:ascii="Arial" w:hAnsi="Arial"/>
                <w:b/>
                <w:color w:val="FFFFFF"/>
                <w:sz w:val="18"/>
              </w:rPr>
              <w:t>Attendu avant ouverture large</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Accès protégés</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RBAC actif, comptes nominatifs, authentification forte ou SSO si disponible.</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Segmentation prête</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Groupes d'agents, labels, tenants et dashboards par périmètre créés et validés.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Sources de logs utiles</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Auth, sudo, FIM critique, applicatifs importants, Docker et cloud/SaaS réellement configurés.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Monitors prioritaires</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Agent muet, intégration muette, FIM sensible, auth anormale et vulnérabilités hors SLA opérationnels.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Notifications cadrées</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Canaux, destinataires, horaires, contenu et règles d'escalade validés.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Faux positifs traités</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Registre d'exceptions ouvert, propriétaires nommés, date de revue définie.</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Sauvegardes et restauration</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Sauvegarde confirmée et test de restauration effectué.</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Documentation</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Runbooks, consignes d'exploitation, schéma d'architecture et points de contact disponibles.</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Pilotage</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KPIs et rapports récurrents définis pour exploitation, SOC, management et conformité.</w:t>
            </w:r>
          </w:p>
        </w:tc>
      </w:tr>
      <w:tr>
        <w:tc>
          <w:tcPr>
            <w:tcW w:type="dxa" w:w="2835"/>
            <w:vAlign w:val="center"/>
            <w:tcMar>
              <w:top w:w="90" w:type="dxa"/>
              <w:start w:w="110" w:type="dxa"/>
              <w:bottom w:w="90" w:type="dxa"/>
              <w:end w:w="110" w:type="dxa"/>
            </w:tcMar>
          </w:tcPr>
          <w:p>
            <w:pPr>
              <w:spacing w:before="0" w:after="0" w:line="264" w:lineRule="auto"/>
              <w:jc w:val="left"/>
            </w:pPr>
            <w:r>
              <w:rPr>
                <w:rFonts w:ascii="Arial" w:hAnsi="Arial"/>
                <w:color w:val="1F2933"/>
                <w:sz w:val="18"/>
              </w:rPr>
              <w:t>Groupe pilote</w:t>
            </w:r>
          </w:p>
        </w:tc>
        <w:tc>
          <w:tcPr>
            <w:tcW w:type="dxa" w:w="6123"/>
            <w:vAlign w:val="center"/>
            <w:tcMar>
              <w:top w:w="90" w:type="dxa"/>
              <w:start w:w="110" w:type="dxa"/>
              <w:bottom w:w="90" w:type="dxa"/>
              <w:end w:w="110" w:type="dxa"/>
            </w:tcMar>
          </w:tcPr>
          <w:p>
            <w:pPr>
              <w:spacing w:before="0" w:after="0" w:line="264" w:lineRule="auto"/>
              <w:jc w:val="left"/>
            </w:pPr>
            <w:r>
              <w:rPr>
                <w:rFonts w:ascii="Arial" w:hAnsi="Arial"/>
                <w:color w:val="1F2933"/>
                <w:sz w:val="18"/>
              </w:rPr>
              <w:t>Validation sur un périmètre pilote avant extension à l'ensemble des groupes sensibles.</w:t>
            </w:r>
          </w:p>
        </w:tc>
      </w:tr>
    </w:tbl>
    <w:p/>
    <w:tbl>
      <w:tblPr>
        <w:tblW w:type="auto" w:w="0"/>
        <w:jc w:val="center"/>
        <w:tblLook w:firstColumn="1" w:firstRow="1" w:lastColumn="0" w:lastRow="0" w:noHBand="0" w:noVBand="1" w:val="04A0"/>
      </w:tblPr>
      <w:tblGrid>
        <w:gridCol w:w="9866"/>
      </w:tblGrid>
      <w:tr>
        <w:tc>
          <w:tcPr>
            <w:tcW w:type="dxa" w:w="9866"/>
            <w:shd w:val="clear" w:color="auto" w:fill="DDEFE6"/>
            <w:tcMar>
              <w:top w:w="110" w:type="dxa"/>
              <w:start w:w="120" w:type="dxa"/>
              <w:bottom w:w="110" w:type="dxa"/>
              <w:end w:w="120" w:type="dxa"/>
            </w:tcMar>
          </w:tcPr>
          <w:p>
            <w:pPr>
              <w:pStyle w:val="MiniHeading"/>
            </w:pPr>
            <w:r>
              <w:t>Décision recommandée</w:t>
            </w:r>
          </w:p>
          <w:p>
            <w:pPr>
              <w:spacing w:after="40"/>
              <w:ind w:left="142" w:hanging="142"/>
            </w:pPr>
            <w:r>
              <w:t>• Ouvrir progressivement: d'abord un pilote technique, ensuite les serveurs critiques, puis les autres groupes et enfin les intégrations secondaires.</w:t>
            </w:r>
          </w:p>
          <w:p>
            <w:pPr>
              <w:spacing w:after="40"/>
              <w:ind w:left="142" w:hanging="142"/>
            </w:pPr>
            <w:r>
              <w:t>• Le critère de réussite n'est pas le nombre de fonctionnalités activées mais la capacité à produire des alertes fiables, des vues lisibles et des actions concrètes.</w:t>
            </w:r>
          </w:p>
        </w:tc>
      </w:tr>
    </w:tbl>
    <w:p/>
    <w:sectPr w:rsidR="00FC693F" w:rsidRPr="0006063C" w:rsidSect="00034616">
      <w:footerReference w:type="default" r:id="rId9"/>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Guide de déploiement et d'exploitation Wazuh en entreprise - version 1.1 - 18/04/2026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A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8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A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C9A6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C9A6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C9A6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C9A6A" w:themeColor="accent1"/>
    </w:rPr>
  </w:style>
  <w:style w:type="paragraph" w:styleId="Title">
    <w:name w:val="Title"/>
    <w:basedOn w:val="Normal"/>
    <w:next w:val="Normal"/>
    <w:link w:val="TitleChar"/>
    <w:uiPriority w:val="10"/>
    <w:qFormat/>
    <w:rsid w:val="00FC693F"/>
    <w:pPr>
      <w:pBdr>
        <w:bottom w:val="single" w:sz="8" w:space="4" w:color="4C9A6A" w:themeColor="accent1"/>
      </w:pBdr>
      <w:spacing w:after="300" w:line="240" w:lineRule="auto"/>
      <w:contextualSpacing/>
    </w:pPr>
    <w:rPr>
      <w:rFonts w:asciiTheme="majorHAnsi" w:eastAsiaTheme="majorEastAsia" w:hAnsiTheme="majorHAnsi" w:cstheme="majorBidi"/>
      <w:color w:val="1F6A52"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6A52"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C9A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C9A6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C9A6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C9A6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C9A6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C9A6A" w:themeColor="accent1"/>
      </w:pBdr>
      <w:spacing w:before="200" w:after="280"/>
      <w:ind w:left="936" w:right="936"/>
    </w:pPr>
    <w:rPr>
      <w:b/>
      <w:bCs/>
      <w:i/>
      <w:iCs/>
      <w:color w:val="4C9A6A" w:themeColor="accent1"/>
    </w:rPr>
  </w:style>
  <w:style w:type="character" w:customStyle="1" w:styleId="IntenseQuoteChar">
    <w:name w:val="Intense Quote Char"/>
    <w:basedOn w:val="DefaultParagraphFont"/>
    <w:link w:val="IntenseQuote"/>
    <w:uiPriority w:val="30"/>
    <w:rsid w:val="00FC693F"/>
    <w:rPr>
      <w:b/>
      <w:bCs/>
      <w:i/>
      <w:iCs/>
      <w:color w:val="4C9A6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C9A6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C9A6A" w:themeColor="accent1"/>
        <w:bottom w:val="single" w:sz="8" w:space="0" w:color="4C9A6A"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C9A6A" w:themeColor="accent1"/>
          <w:left w:val="nil"/>
          <w:bottom w:val="single" w:sz="8" w:space="0" w:color="4C9A6A" w:themeColor="accent1"/>
          <w:right w:val="nil"/>
          <w:insideH w:val="nil"/>
          <w:insideV w:val="nil"/>
        </w:tcBorders>
      </w:tcPr>
    </w:tblStylePr>
    <w:tblStylePr w:type="lastRow">
      <w:pPr>
        <w:spacing w:before="0" w:after="0" w:line="240" w:lineRule="auto"/>
      </w:pPr>
      <w:rPr>
        <w:b/>
        <w:bCs/>
      </w:rPr>
      <w:tblPr/>
      <w:tcPr>
        <w:tcBorders>
          <w:top w:val="single" w:sz="8" w:space="0" w:color="4C9A6A" w:themeColor="accent1"/>
          <w:left w:val="nil"/>
          <w:bottom w:val="single" w:sz="8" w:space="0" w:color="4C9A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C9A6A" w:themeFill="accent1"/>
      </w:tcPr>
    </w:tblStylePr>
    <w:tblStylePr w:type="lastRow">
      <w:pPr>
        <w:spacing w:before="0" w:after="0" w:line="240" w:lineRule="auto"/>
      </w:pPr>
      <w:rPr>
        <w:b/>
        <w:bCs/>
      </w:rPr>
      <w:tblPr/>
      <w:tcPr>
        <w:tcBorders>
          <w:top w:val="double" w:sz="6" w:space="0" w:color="4C9A6A" w:themeColor="accent1"/>
          <w:left w:val="single" w:sz="8" w:space="0" w:color="4C9A6A" w:themeColor="accent1"/>
          <w:bottom w:val="single" w:sz="8" w:space="0" w:color="4C9A6A" w:themeColor="accent1"/>
          <w:right w:val="single" w:sz="8" w:space="0" w:color="4C9A6A" w:themeColor="accent1"/>
        </w:tcBorders>
      </w:tcPr>
    </w:tblStylePr>
    <w:tblStylePr w:type="firstCol">
      <w:rPr>
        <w:b/>
        <w:bCs/>
      </w:rPr>
    </w:tblStylePr>
    <w:tblStylePr w:type="lastCol">
      <w:rPr>
        <w:b/>
        <w:bCs/>
      </w:rPr>
    </w:tblStylePr>
    <w:tblStylePr w:type="band1Vert">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tblStylePr w:type="band1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insideH w:val="single" w:sz="8" w:space="0" w:color="4C9A6A" w:themeColor="accent1"/>
        <w:insideV w:val="single" w:sz="8" w:space="0" w:color="4C9A6A"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C9A6A" w:themeColor="accent1"/>
          <w:left w:val="single" w:sz="8" w:space="0" w:color="4C9A6A" w:themeColor="accent1"/>
          <w:bottom w:val="single" w:sz="18" w:space="0" w:color="4C9A6A" w:themeColor="accent1"/>
          <w:right w:val="single" w:sz="8" w:space="0" w:color="4C9A6A" w:themeColor="accent1"/>
          <w:insideH w:val="nil"/>
          <w:insideV w:val="single" w:sz="8" w:space="0" w:color="4C9A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9A6A" w:themeColor="accent1"/>
          <w:left w:val="single" w:sz="8" w:space="0" w:color="4C9A6A" w:themeColor="accent1"/>
          <w:bottom w:val="single" w:sz="8" w:space="0" w:color="4C9A6A" w:themeColor="accent1"/>
          <w:right w:val="single" w:sz="8" w:space="0" w:color="4C9A6A" w:themeColor="accent1"/>
          <w:insideH w:val="nil"/>
          <w:insideV w:val="single" w:sz="8" w:space="0" w:color="4C9A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tblStylePr w:type="band1Vert">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shd w:val="clear" w:color="auto" w:fill="D3DFEE" w:themeFill="accent1" w:themeFillTint="3F"/>
      </w:tcPr>
    </w:tblStylePr>
    <w:tblStylePr w:type="band1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insideV w:val="single" w:sz="8" w:space="0" w:color="4C9A6A" w:themeColor="accent1"/>
        </w:tcBorders>
        <w:shd w:val="clear" w:color="auto" w:fill="D3DFEE" w:themeFill="accent1" w:themeFillTint="3F"/>
      </w:tcPr>
    </w:tblStylePr>
    <w:tblStylePr w:type="band2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insideV w:val="single" w:sz="8" w:space="0" w:color="4C9A6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single" w:sz="8" w:space="0" w:color="73AD86"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nil"/>
          <w:insideV w:val="nil"/>
        </w:tcBorders>
        <w:shd w:val="clear" w:color="auto" w:fill="4C9A6A" w:themeFill="accent1"/>
      </w:tcPr>
    </w:tblStylePr>
    <w:tblStylePr w:type="lastRow">
      <w:pPr>
        <w:spacing w:before="0" w:after="0" w:line="240" w:lineRule="auto"/>
      </w:pPr>
      <w:rPr>
        <w:b/>
        <w:bCs/>
      </w:rPr>
      <w:tblPr/>
      <w:tcPr>
        <w:tcBorders>
          <w:top w:val="double" w:sz="6"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9A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9A6A" w:themeFill="accent1"/>
      </w:tcPr>
    </w:tblStylePr>
    <w:tblStylePr w:type="lastCol">
      <w:rPr>
        <w:b/>
        <w:bCs/>
        <w:color w:val="FFFFFF" w:themeColor="background1"/>
      </w:rPr>
      <w:tblPr/>
      <w:tcPr>
        <w:tcBorders>
          <w:left w:val="nil"/>
          <w:right w:val="nil"/>
          <w:insideH w:val="nil"/>
          <w:insideV w:val="nil"/>
        </w:tcBorders>
        <w:shd w:val="clear" w:color="auto" w:fill="4C9A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C9A6A" w:themeColor="accent1"/>
        <w:bottom w:val="single" w:sz="8" w:space="0" w:color="4C9A6A"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C9A6A" w:themeColor="accent1"/>
        </w:tcBorders>
      </w:tcPr>
    </w:tblStylePr>
    <w:tblStylePr w:type="lastRow">
      <w:rPr>
        <w:b/>
        <w:bCs/>
        <w:color w:val="1F497D" w:themeColor="text2"/>
      </w:rPr>
      <w:tblPr/>
      <w:tcPr>
        <w:tcBorders>
          <w:top w:val="single" w:sz="8" w:space="0" w:color="4C9A6A" w:themeColor="accent1"/>
          <w:bottom w:val="single" w:sz="8" w:space="0" w:color="4C9A6A" w:themeColor="accent1"/>
        </w:tcBorders>
      </w:tcPr>
    </w:tblStylePr>
    <w:tblStylePr w:type="firstCol">
      <w:rPr>
        <w:b/>
        <w:bCs/>
      </w:rPr>
    </w:tblStylePr>
    <w:tblStylePr w:type="lastCol">
      <w:rPr>
        <w:b/>
        <w:bCs/>
      </w:rPr>
      <w:tblPr/>
      <w:tcPr>
        <w:tcBorders>
          <w:top w:val="single" w:sz="8" w:space="0" w:color="4C9A6A" w:themeColor="accent1"/>
          <w:bottom w:val="single" w:sz="8" w:space="0" w:color="4C9A6A"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C9A6A" w:themeColor="accent1"/>
          <w:right w:val="nil"/>
          <w:insideH w:val="nil"/>
          <w:insideV w:val="nil"/>
        </w:tcBorders>
        <w:shd w:val="clear" w:color="auto" w:fill="FFFFFF" w:themeFill="background1"/>
      </w:tcPr>
    </w:tblStylePr>
    <w:tblStylePr w:type="lastRow">
      <w:tblPr/>
      <w:tcPr>
        <w:tcBorders>
          <w:top w:val="single" w:sz="8" w:space="0" w:color="4C9A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9A6A" w:themeColor="accent1"/>
          <w:insideH w:val="nil"/>
          <w:insideV w:val="nil"/>
        </w:tcBorders>
        <w:shd w:val="clear" w:color="auto" w:fill="FFFFFF" w:themeFill="background1"/>
      </w:tcPr>
    </w:tblStylePr>
    <w:tblStylePr w:type="lastCol">
      <w:tblPr/>
      <w:tcPr>
        <w:tcBorders>
          <w:top w:val="nil"/>
          <w:left w:val="single" w:sz="8" w:space="0" w:color="4C9A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single" w:sz="8" w:space="0" w:color="73AD86" w:themeColor="accent1" w:themeTint="BF"/>
        <w:insideV w:val="single" w:sz="8" w:space="0" w:color="73AD86"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3AD86"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insideH w:val="single" w:sz="8" w:space="0" w:color="4C9A6A" w:themeColor="accent1"/>
        <w:insideV w:val="single" w:sz="8" w:space="0" w:color="4C9A6A"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C9A6A" w:themeColor="accent1"/>
          <w:insideV w:val="single" w:sz="6" w:space="0" w:color="4C9A6A"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9A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9A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9A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9A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C9A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C9A6A" w:themeColor="accent1"/>
        <w:bottom w:val="single" w:sz="4" w:space="0" w:color="4C9A6A" w:themeColor="accent1"/>
        <w:right w:val="single" w:sz="4" w:space="0" w:color="4C9A6A"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1F2933"/>
      <w:sz w:val="17"/>
    </w:rPr>
  </w:style>
  <w:style w:type="paragraph" w:customStyle="1" w:styleId="SmallNote">
    <w:name w:val="SmallNote"/>
    <w:rPr>
      <w:rFonts w:ascii="Arial" w:hAnsi="Arial"/>
      <w:i/>
      <w:color w:val="5B6B79"/>
      <w:sz w:val="17"/>
    </w:rPr>
  </w:style>
  <w:style w:type="paragraph" w:customStyle="1" w:styleId="MiniHeading">
    <w:name w:val="MiniHeading"/>
    <w:rPr>
      <w:rFonts w:ascii="Arial" w:hAnsi="Arial"/>
      <w:b/>
      <w:color w:val="1F6A5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C9A6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C9A6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C9A6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C9A6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C9A6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C9A6A" w:themeColor="accent1"/>
    </w:rPr>
  </w:style>
  <w:style w:type="paragraph" w:styleId="Title">
    <w:name w:val="Title"/>
    <w:basedOn w:val="Normal"/>
    <w:next w:val="Normal"/>
    <w:link w:val="TitleChar"/>
    <w:uiPriority w:val="10"/>
    <w:qFormat/>
    <w:rsid w:val="00FC693F"/>
    <w:pPr>
      <w:pBdr>
        <w:bottom w:val="single" w:sz="8" w:space="4" w:color="4C9A6A" w:themeColor="accent1"/>
      </w:pBdr>
      <w:spacing w:after="300" w:line="240" w:lineRule="auto"/>
      <w:contextualSpacing/>
    </w:pPr>
    <w:rPr>
      <w:rFonts w:asciiTheme="majorHAnsi" w:eastAsiaTheme="majorEastAsia" w:hAnsiTheme="majorHAnsi" w:cstheme="majorBidi"/>
      <w:color w:val="1F6A52"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6A52"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C9A6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C9A6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C9A6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C9A6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C9A6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C9A6A" w:themeColor="accent1"/>
      </w:pBdr>
      <w:spacing w:before="200" w:after="280"/>
      <w:ind w:left="936" w:right="936"/>
    </w:pPr>
    <w:rPr>
      <w:b/>
      <w:bCs/>
      <w:i/>
      <w:iCs/>
      <w:color w:val="4C9A6A" w:themeColor="accent1"/>
    </w:rPr>
  </w:style>
  <w:style w:type="character" w:customStyle="1" w:styleId="IntenseQuoteChar">
    <w:name w:val="Intense Quote Char"/>
    <w:basedOn w:val="DefaultParagraphFont"/>
    <w:link w:val="IntenseQuote"/>
    <w:uiPriority w:val="30"/>
    <w:rsid w:val="00FC693F"/>
    <w:rPr>
      <w:b/>
      <w:bCs/>
      <w:i/>
      <w:iCs/>
      <w:color w:val="4C9A6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C9A6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C9A6A" w:themeColor="accent1"/>
        <w:bottom w:val="single" w:sz="8" w:space="0" w:color="4C9A6A"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C9A6A" w:themeColor="accent1"/>
          <w:left w:val="nil"/>
          <w:bottom w:val="single" w:sz="8" w:space="0" w:color="4C9A6A" w:themeColor="accent1"/>
          <w:right w:val="nil"/>
          <w:insideH w:val="nil"/>
          <w:insideV w:val="nil"/>
        </w:tcBorders>
      </w:tcPr>
    </w:tblStylePr>
    <w:tblStylePr w:type="lastRow">
      <w:pPr>
        <w:spacing w:before="0" w:after="0" w:line="240" w:lineRule="auto"/>
      </w:pPr>
      <w:rPr>
        <w:b/>
        <w:bCs/>
      </w:rPr>
      <w:tblPr/>
      <w:tcPr>
        <w:tcBorders>
          <w:top w:val="single" w:sz="8" w:space="0" w:color="4C9A6A" w:themeColor="accent1"/>
          <w:left w:val="nil"/>
          <w:bottom w:val="single" w:sz="8" w:space="0" w:color="4C9A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C9A6A" w:themeFill="accent1"/>
      </w:tcPr>
    </w:tblStylePr>
    <w:tblStylePr w:type="lastRow">
      <w:pPr>
        <w:spacing w:before="0" w:after="0" w:line="240" w:lineRule="auto"/>
      </w:pPr>
      <w:rPr>
        <w:b/>
        <w:bCs/>
      </w:rPr>
      <w:tblPr/>
      <w:tcPr>
        <w:tcBorders>
          <w:top w:val="double" w:sz="6" w:space="0" w:color="4C9A6A" w:themeColor="accent1"/>
          <w:left w:val="single" w:sz="8" w:space="0" w:color="4C9A6A" w:themeColor="accent1"/>
          <w:bottom w:val="single" w:sz="8" w:space="0" w:color="4C9A6A" w:themeColor="accent1"/>
          <w:right w:val="single" w:sz="8" w:space="0" w:color="4C9A6A" w:themeColor="accent1"/>
        </w:tcBorders>
      </w:tcPr>
    </w:tblStylePr>
    <w:tblStylePr w:type="firstCol">
      <w:rPr>
        <w:b/>
        <w:bCs/>
      </w:rPr>
    </w:tblStylePr>
    <w:tblStylePr w:type="lastCol">
      <w:rPr>
        <w:b/>
        <w:bCs/>
      </w:rPr>
    </w:tblStylePr>
    <w:tblStylePr w:type="band1Vert">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tblStylePr w:type="band1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insideH w:val="single" w:sz="8" w:space="0" w:color="4C9A6A" w:themeColor="accent1"/>
        <w:insideV w:val="single" w:sz="8" w:space="0" w:color="4C9A6A"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C9A6A" w:themeColor="accent1"/>
          <w:left w:val="single" w:sz="8" w:space="0" w:color="4C9A6A" w:themeColor="accent1"/>
          <w:bottom w:val="single" w:sz="18" w:space="0" w:color="4C9A6A" w:themeColor="accent1"/>
          <w:right w:val="single" w:sz="8" w:space="0" w:color="4C9A6A" w:themeColor="accent1"/>
          <w:insideH w:val="nil"/>
          <w:insideV w:val="single" w:sz="8" w:space="0" w:color="4C9A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9A6A" w:themeColor="accent1"/>
          <w:left w:val="single" w:sz="8" w:space="0" w:color="4C9A6A" w:themeColor="accent1"/>
          <w:bottom w:val="single" w:sz="8" w:space="0" w:color="4C9A6A" w:themeColor="accent1"/>
          <w:right w:val="single" w:sz="8" w:space="0" w:color="4C9A6A" w:themeColor="accent1"/>
          <w:insideH w:val="nil"/>
          <w:insideV w:val="single" w:sz="8" w:space="0" w:color="4C9A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tcPr>
    </w:tblStylePr>
    <w:tblStylePr w:type="band1Vert">
      <w:tblPr/>
      <w:tcPr>
        <w:tcBorders>
          <w:top w:val="single" w:sz="8" w:space="0" w:color="4C9A6A" w:themeColor="accent1"/>
          <w:left w:val="single" w:sz="8" w:space="0" w:color="4C9A6A" w:themeColor="accent1"/>
          <w:bottom w:val="single" w:sz="8" w:space="0" w:color="4C9A6A" w:themeColor="accent1"/>
          <w:right w:val="single" w:sz="8" w:space="0" w:color="4C9A6A" w:themeColor="accent1"/>
        </w:tcBorders>
        <w:shd w:val="clear" w:color="auto" w:fill="D3DFEE" w:themeFill="accent1" w:themeFillTint="3F"/>
      </w:tcPr>
    </w:tblStylePr>
    <w:tblStylePr w:type="band1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insideV w:val="single" w:sz="8" w:space="0" w:color="4C9A6A" w:themeColor="accent1"/>
        </w:tcBorders>
        <w:shd w:val="clear" w:color="auto" w:fill="D3DFEE" w:themeFill="accent1" w:themeFillTint="3F"/>
      </w:tcPr>
    </w:tblStylePr>
    <w:tblStylePr w:type="band2Horz">
      <w:tblPr/>
      <w:tcPr>
        <w:tcBorders>
          <w:top w:val="single" w:sz="8" w:space="0" w:color="4C9A6A" w:themeColor="accent1"/>
          <w:left w:val="single" w:sz="8" w:space="0" w:color="4C9A6A" w:themeColor="accent1"/>
          <w:bottom w:val="single" w:sz="8" w:space="0" w:color="4C9A6A" w:themeColor="accent1"/>
          <w:right w:val="single" w:sz="8" w:space="0" w:color="4C9A6A" w:themeColor="accent1"/>
          <w:insideV w:val="single" w:sz="8" w:space="0" w:color="4C9A6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single" w:sz="8" w:space="0" w:color="73AD86"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nil"/>
          <w:insideV w:val="nil"/>
        </w:tcBorders>
        <w:shd w:val="clear" w:color="auto" w:fill="4C9A6A" w:themeFill="accent1"/>
      </w:tcPr>
    </w:tblStylePr>
    <w:tblStylePr w:type="lastRow">
      <w:pPr>
        <w:spacing w:before="0" w:after="0" w:line="240" w:lineRule="auto"/>
      </w:pPr>
      <w:rPr>
        <w:b/>
        <w:bCs/>
      </w:rPr>
      <w:tblPr/>
      <w:tcPr>
        <w:tcBorders>
          <w:top w:val="double" w:sz="6"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9A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9A6A" w:themeFill="accent1"/>
      </w:tcPr>
    </w:tblStylePr>
    <w:tblStylePr w:type="lastCol">
      <w:rPr>
        <w:b/>
        <w:bCs/>
        <w:color w:val="FFFFFF" w:themeColor="background1"/>
      </w:rPr>
      <w:tblPr/>
      <w:tcPr>
        <w:tcBorders>
          <w:left w:val="nil"/>
          <w:right w:val="nil"/>
          <w:insideH w:val="nil"/>
          <w:insideV w:val="nil"/>
        </w:tcBorders>
        <w:shd w:val="clear" w:color="auto" w:fill="4C9A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C9A6A" w:themeColor="accent1"/>
        <w:bottom w:val="single" w:sz="8" w:space="0" w:color="4C9A6A"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C9A6A" w:themeColor="accent1"/>
        </w:tcBorders>
      </w:tcPr>
    </w:tblStylePr>
    <w:tblStylePr w:type="lastRow">
      <w:rPr>
        <w:b/>
        <w:bCs/>
        <w:color w:val="1F497D" w:themeColor="text2"/>
      </w:rPr>
      <w:tblPr/>
      <w:tcPr>
        <w:tcBorders>
          <w:top w:val="single" w:sz="8" w:space="0" w:color="4C9A6A" w:themeColor="accent1"/>
          <w:bottom w:val="single" w:sz="8" w:space="0" w:color="4C9A6A" w:themeColor="accent1"/>
        </w:tcBorders>
      </w:tcPr>
    </w:tblStylePr>
    <w:tblStylePr w:type="firstCol">
      <w:rPr>
        <w:b/>
        <w:bCs/>
      </w:rPr>
    </w:tblStylePr>
    <w:tblStylePr w:type="lastCol">
      <w:rPr>
        <w:b/>
        <w:bCs/>
      </w:rPr>
      <w:tblPr/>
      <w:tcPr>
        <w:tcBorders>
          <w:top w:val="single" w:sz="8" w:space="0" w:color="4C9A6A" w:themeColor="accent1"/>
          <w:bottom w:val="single" w:sz="8" w:space="0" w:color="4C9A6A"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C9A6A" w:themeColor="accent1"/>
          <w:right w:val="nil"/>
          <w:insideH w:val="nil"/>
          <w:insideV w:val="nil"/>
        </w:tcBorders>
        <w:shd w:val="clear" w:color="auto" w:fill="FFFFFF" w:themeFill="background1"/>
      </w:tcPr>
    </w:tblStylePr>
    <w:tblStylePr w:type="lastRow">
      <w:tblPr/>
      <w:tcPr>
        <w:tcBorders>
          <w:top w:val="single" w:sz="8" w:space="0" w:color="4C9A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9A6A" w:themeColor="accent1"/>
          <w:insideH w:val="nil"/>
          <w:insideV w:val="nil"/>
        </w:tcBorders>
        <w:shd w:val="clear" w:color="auto" w:fill="FFFFFF" w:themeFill="background1"/>
      </w:tcPr>
    </w:tblStylePr>
    <w:tblStylePr w:type="lastCol">
      <w:tblPr/>
      <w:tcPr>
        <w:tcBorders>
          <w:top w:val="nil"/>
          <w:left w:val="single" w:sz="8" w:space="0" w:color="4C9A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3AD86" w:themeColor="accent1" w:themeTint="BF"/>
        <w:left w:val="single" w:sz="8" w:space="0" w:color="73AD86" w:themeColor="accent1" w:themeTint="BF"/>
        <w:bottom w:val="single" w:sz="8" w:space="0" w:color="73AD86" w:themeColor="accent1" w:themeTint="BF"/>
        <w:right w:val="single" w:sz="8" w:space="0" w:color="73AD86" w:themeColor="accent1" w:themeTint="BF"/>
        <w:insideH w:val="single" w:sz="8" w:space="0" w:color="73AD86" w:themeColor="accent1" w:themeTint="BF"/>
        <w:insideV w:val="single" w:sz="8" w:space="0" w:color="73AD86"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3AD86"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C9A6A" w:themeColor="accent1"/>
        <w:left w:val="single" w:sz="8" w:space="0" w:color="4C9A6A" w:themeColor="accent1"/>
        <w:bottom w:val="single" w:sz="8" w:space="0" w:color="4C9A6A" w:themeColor="accent1"/>
        <w:right w:val="single" w:sz="8" w:space="0" w:color="4C9A6A" w:themeColor="accent1"/>
        <w:insideH w:val="single" w:sz="8" w:space="0" w:color="4C9A6A" w:themeColor="accent1"/>
        <w:insideV w:val="single" w:sz="8" w:space="0" w:color="4C9A6A"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C9A6A" w:themeColor="accent1"/>
          <w:insideV w:val="single" w:sz="6" w:space="0" w:color="4C9A6A"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9A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9A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9A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9A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C9A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C9A6A" w:themeColor="accent1"/>
        <w:bottom w:val="single" w:sz="4" w:space="0" w:color="4C9A6A" w:themeColor="accent1"/>
        <w:right w:val="single" w:sz="4" w:space="0" w:color="4C9A6A"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C9A6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déploiement et d'exploitation Wazuh - Obeo</dc:title>
  <dc:subject>Guide opérationnel Wazuh pour Obeo</dc:subject>
  <dc:creator>Baptiste Rouault</dc:creator>
  <cp:keywords/>
  <dc:description>generated by python-docx</dc:description>
  <cp:lastModifiedBy>Baptiste Rouault</cp:lastModifiedBy>
  <cp:revision>1</cp:revision>
  <dcterms:created xsi:type="dcterms:W3CDTF">2013-12-23T23:15:00Z</dcterms:created>
  <dcterms:modified xsi:type="dcterms:W3CDTF">2013-12-23T23:15:00Z</dcterms:modified>
  <cp:category/>
</cp:coreProperties>
</file>