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TaiChinh note 107</w:t>
      </w:r>
    </w:p>
    <w:p>
      <w:r>
        <w:t xml:space="preserve">Category: tai-chinh</w:t>
      </w:r>
    </w:p>
    <w:p>
      <w:r>
        <w:rPr>
          <w:b/>
          <w:bCs/>
        </w:rPr>
        <w:t xml:space="preserve">Keywords: ngan sach, doanh thu, chi phi, loi nhuan, dau tu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p>
      <w:r>
        <w:t xml:space="preserve">Báo cáo ngân sách cho thấy doanh thu tăng nhanh hơn chi phí.</w:t>
      </w:r>
    </w:p>
    <w:p>
      <w:r>
        <w:t xml:space="preserve">Lợi nhuận quý này cải thiện nhờ kiểm soát chi phí đầu tư.</w:t>
      </w:r>
    </w:p>
    <w:p>
      <w:r>
        <w:t xml:space="preserve">Kế hoạch đầu tư dựa trên dự báo doanh thu và ngân sách.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2026-07-23T07:35:12.127Z</dcterms:created>
  <dcterms:modified xsi:type="dcterms:W3CDTF">2026-07-23T07:35:12.127Z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