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Análisis subjetivo del estudiante universitario sobre su rendimiento académico en la modalidad presencial</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Kelly Vargas-Prado, Silvana Campos-Martinez, Yessica Rojas-Jara y Walter Acharte-Champi</w:t>
      </w:r>
    </w:p>
    <w:p>
      <w:pPr>
        <w:spacing w:before="0" w:after="160" w:line="360" w:lineRule="auto"/>
        <w:jc w:val="center"/>
      </w:pPr>
      <w:r>
        <w:rPr>
          <w:rFonts w:ascii="Times New Roman" w:hAnsi="Times New Roman" w:cs="Times New Roman" w:eastAsia="Times New Roman"/>
          <w:b w:val="0"/>
          <w:i w:val="0"/>
          <w:sz w:val="24"/>
        </w:rPr>
        <w:t>Universidad Autónoma de Ica, Perú</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Autor Correspondiente: Kelly Fara Vargas-Prado. Universidad Autónoma de Ica (Perú).</w:t>
      </w:r>
    </w:p>
    <w:p>
      <w:pPr>
        <w:spacing w:before="0" w:after="160" w:line="360" w:lineRule="auto"/>
        <w:jc w:val="center"/>
      </w:pPr>
      <w:r>
        <w:rPr>
          <w:rFonts w:ascii="Times New Roman" w:hAnsi="Times New Roman" w:cs="Times New Roman" w:eastAsia="Times New Roman"/>
          <w:b w:val="0"/>
          <w:i w:val="0"/>
          <w:sz w:val="24"/>
        </w:rPr>
        <w:t>Correspondencia: kelly.vargas@autonomadeica.edu.pe, silvana.campos@autonomadeica.edu.pe, yessica.rojas@autonomadeica.edu.pe, walter.acharte@autonoma.edu.pe</w:t>
      </w:r>
    </w:p>
    <w:p>
      <w:pPr>
        <w:spacing w:before="0" w:after="160" w:line="360" w:lineRule="auto"/>
        <w:jc w:val="center"/>
      </w:pPr>
      <w:r>
        <w:rPr>
          <w:rFonts w:ascii="Times New Roman" w:hAnsi="Times New Roman" w:cs="Times New Roman" w:eastAsia="Times New Roman"/>
          <w:b w:val="0"/>
          <w:i w:val="0"/>
          <w:sz w:val="24"/>
        </w:rPr>
        <w:t>Financiación: Esta investigación no recibió financiamiento externo.</w:t>
      </w:r>
    </w:p>
    <w:p>
      <w:pPr>
        <w:spacing w:before="0" w:after="160" w:line="360" w:lineRule="auto"/>
        <w:jc w:val="center"/>
      </w:pPr>
      <w:r>
        <w:rPr>
          <w:rFonts w:ascii="Times New Roman" w:hAnsi="Times New Roman" w:cs="Times New Roman" w:eastAsia="Times New Roman"/>
          <w:b w:val="0"/>
          <w:i w:val="0"/>
          <w:sz w:val="24"/>
        </w:rPr>
        <w:t>Conflicto de intereses: No existe ningún tipo de conflicto de interés por parte de los autores</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i w:val="0"/>
          <w:sz w:val="24"/>
        </w:rPr>
        <w:t>Introducción</w:t>
      </w:r>
      <w:r>
        <w:rPr>
          <w:rFonts w:ascii="Times New Roman" w:hAnsi="Times New Roman" w:cs="Times New Roman" w:eastAsia="Times New Roman"/>
          <w:b w:val="0"/>
          <w:i w:val="0"/>
          <w:sz w:val="24"/>
        </w:rPr>
        <w:t xml:space="preserve">: Uno de los factores que ocasiona que un estudiante universitario tome la decisión de abandonar sus estudios es el tema de su rendimiento académico, por lo que es de suma importancia tener un panorama claro de como viene percibiendo su desenvolvimiento dentro de las aulas. </w:t>
      </w:r>
      <w:r>
        <w:rPr>
          <w:rFonts w:ascii="Times New Roman" w:hAnsi="Times New Roman" w:cs="Times New Roman" w:eastAsia="Times New Roman"/>
          <w:b/>
          <w:i w:val="0"/>
          <w:sz w:val="24"/>
        </w:rPr>
        <w:t>Metodología</w:t>
      </w:r>
      <w:r>
        <w:rPr>
          <w:rFonts w:ascii="Times New Roman" w:hAnsi="Times New Roman" w:cs="Times New Roman" w:eastAsia="Times New Roman"/>
          <w:b w:val="0"/>
          <w:i w:val="0"/>
          <w:sz w:val="24"/>
        </w:rPr>
        <w:t xml:space="preserve">: De enfoque cuantitativo, corte transversal y analítico, su método fue inductivo – deductivo; la muestra quedó constituida por 184 estudiantes de la modalidad presencial de una Universidad Pública de Perú; el instrumento utilizado fue la Escala RAU de Rendimiento Académico Universitario. </w:t>
      </w:r>
      <w:r>
        <w:rPr>
          <w:rFonts w:ascii="Times New Roman" w:hAnsi="Times New Roman" w:cs="Times New Roman" w:eastAsia="Times New Roman"/>
          <w:b/>
          <w:i w:val="0"/>
          <w:sz w:val="24"/>
        </w:rPr>
        <w:t>Resultados:</w:t>
      </w:r>
      <w:r>
        <w:rPr>
          <w:rFonts w:ascii="Times New Roman" w:hAnsi="Times New Roman" w:cs="Times New Roman" w:eastAsia="Times New Roman"/>
          <w:b w:val="0"/>
          <w:i w:val="0"/>
          <w:sz w:val="24"/>
        </w:rPr>
        <w:t xml:space="preserve"> La edad media es de 18 años; el 53,8% son de sexo femenino y el 46,2% sexo masculino. En cuanto al rendimiento académico el 15,8% de estudiantes universitarios percibe que su nivel es bajo y un 84,2% medio; sobre aportación en las actividades académicas el 64,1% se ubica en el nivel medio, en la dedicación al estudio el 51,6% está en el nivel bajo y para la falta de organización de los recursos didácticos el 75,5% se ubica en el nivel alto. </w:t>
      </w:r>
      <w:r>
        <w:rPr>
          <w:rFonts w:ascii="Times New Roman" w:hAnsi="Times New Roman" w:cs="Times New Roman" w:eastAsia="Times New Roman"/>
          <w:b/>
          <w:i w:val="0"/>
          <w:sz w:val="24"/>
        </w:rPr>
        <w:t>Discusión</w:t>
      </w:r>
      <w:r>
        <w:rPr>
          <w:rFonts w:ascii="Times New Roman" w:hAnsi="Times New Roman" w:cs="Times New Roman" w:eastAsia="Times New Roman"/>
          <w:b w:val="0"/>
          <w:i w:val="0"/>
          <w:sz w:val="24"/>
        </w:rPr>
        <w:t xml:space="preserve">: Existen estudios donde han obtenido resultados similares, así también no han encontrado factores asociados a ello. </w:t>
      </w:r>
      <w:r>
        <w:rPr>
          <w:rFonts w:ascii="Times New Roman" w:hAnsi="Times New Roman" w:cs="Times New Roman" w:eastAsia="Times New Roman"/>
          <w:b/>
          <w:i w:val="0"/>
          <w:sz w:val="24"/>
        </w:rPr>
        <w:t>Conclusiones</w:t>
      </w:r>
      <w:r>
        <w:rPr>
          <w:rFonts w:ascii="Times New Roman" w:hAnsi="Times New Roman" w:cs="Times New Roman" w:eastAsia="Times New Roman"/>
          <w:b w:val="0"/>
          <w:i w:val="0"/>
          <w:sz w:val="24"/>
        </w:rPr>
        <w:t>: El estudiante necesita desarrollar estrategias que permitan mejorar su rendimiento académico.</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rendimiento académico; hábitos de estudio; enseñanza; aprendizaje; universitarios; deserción; gestión del tiempo; actividades académicas.</w:t>
      </w:r>
    </w:p>
    <w:p>
      <w:pPr>
        <w:pageBreakBefore/>
        <w:spacing w:after="0"/>
      </w:pPr>
    </w:p>
    <w:p>
      <w:pPr>
        <w:spacing w:before="480" w:after="160" w:line="360" w:lineRule="auto"/>
        <w:jc w:val="center"/>
      </w:pPr>
      <w:r>
        <w:rPr>
          <w:rFonts w:ascii="Times New Roman" w:hAnsi="Times New Roman" w:cs="Times New Roman" w:eastAsia="Times New Roman"/>
          <w:b/>
          <w:i w:val="0"/>
          <w:sz w:val="24"/>
        </w:rPr>
        <w:t>Análisis subjetivo del estudiante universitario sobre su rendimiento académico en la modalidad presencial</w:t>
      </w:r>
    </w:p>
    <w:p>
      <w:pPr>
        <w:keepNext/>
        <w:spacing w:before="480" w:after="160" w:line="360" w:lineRule="auto"/>
        <w:jc w:val="center"/>
      </w:pPr>
      <w:r>
        <w:rPr>
          <w:rFonts w:ascii="Times New Roman" w:hAnsi="Times New Roman" w:cs="Times New Roman" w:eastAsia="Times New Roman"/>
          <w:b/>
          <w:i w:val="0"/>
          <w:sz w:val="24"/>
        </w:rPr>
        <w:t>1. Introducción</w:t>
      </w:r>
    </w:p>
    <w:p>
      <w:pPr>
        <w:spacing w:before="0" w:after="160" w:line="360" w:lineRule="auto"/>
        <w:ind w:firstLine="720"/>
        <w:jc w:val="both"/>
      </w:pPr>
      <w:r>
        <w:rPr>
          <w:rFonts w:ascii="Times New Roman" w:hAnsi="Times New Roman" w:cs="Times New Roman" w:eastAsia="Times New Roman"/>
          <w:b w:val="0"/>
          <w:i w:val="0"/>
          <w:sz w:val="24"/>
        </w:rPr>
        <w:t xml:space="preserve">La formación universitaria constituye un indicador de gran importancia para un país, pues representa desarrollo y evolución en todos los ámbitos de la sociedad. En la educación universitaria, los gobiernos enfrentan grandes desafíos en cuanto al cumplimiento de mínimos estándares de calidad (González-Zabala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2017). Si bien los conocimientos de los estudiantes sobre contenidos y habilidades académicas son aspectos condicionados en gran medida por la calidad de la educación que han recibido en la enseñanza secundaria que se han relacionado históricamente con el rendimiento académico en su vida universitaria, los cuales se encuentran explicados por factores no cognitivos, también denominados factores no académicos, donde se explica una parte importante de este rendimiento académico y de las habilidades blandas (</w:t>
      </w:r>
      <w:r>
        <w:rPr>
          <w:rFonts w:ascii="Times New Roman" w:hAnsi="Times New Roman" w:cs="Times New Roman" w:eastAsia="Times New Roman"/>
          <w:b w:val="0"/>
          <w:i/>
          <w:sz w:val="24"/>
        </w:rPr>
        <w:t>soft skills</w:t>
      </w:r>
      <w:r>
        <w:rPr>
          <w:rFonts w:ascii="Times New Roman" w:hAnsi="Times New Roman" w:cs="Times New Roman" w:eastAsia="Times New Roman"/>
          <w:b w:val="0"/>
          <w:i w:val="0"/>
          <w:sz w:val="24"/>
        </w:rPr>
        <w:t xml:space="preserve">) o factores psicosociales (Farruggia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2018).</w:t>
      </w:r>
    </w:p>
    <w:p>
      <w:pPr>
        <w:spacing w:before="0" w:after="160" w:line="360" w:lineRule="auto"/>
        <w:ind w:firstLine="720"/>
        <w:jc w:val="both"/>
      </w:pPr>
      <w:r>
        <w:rPr>
          <w:rFonts w:ascii="Times New Roman" w:hAnsi="Times New Roman" w:cs="Times New Roman" w:eastAsia="Times New Roman"/>
          <w:b w:val="0"/>
          <w:i w:val="0"/>
          <w:sz w:val="24"/>
        </w:rPr>
        <w:t xml:space="preserve">El rendimiento académico es una de las medidas de los logros experimentados por los estudiantes (Real-Delor et al., 2024). Convirtiéndose en un tema importante para los educadores, formadores e investigadores quienes han puesto énfasis en estudiar temas que tienen una contribución significativa en el desempeño de los estudiantes, como es el caso del estudio de Alshamamari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(2017), quienes evaluaron el rendimiento de estudiantes, al igual que Tiley (2008), donde analizó las competencias de los estudiantes. Dado que se conocen los factores que favorecen o dificultan el rendimiento de los estudiantes, el control de los recursos, además del impacto social que determina el éxito o el fracaso de estos en la enseñanza superior, constituye, por tanto, una búsqueda dentro de la institución, que incluye el rendimiento académico del estudiante y su resultado (García y Moreno, 2017; Soza, 2021).</w:t>
      </w:r>
    </w:p>
    <w:p>
      <w:pPr>
        <w:spacing w:before="0" w:after="160" w:line="360" w:lineRule="auto"/>
        <w:ind w:firstLine="720"/>
        <w:jc w:val="both"/>
      </w:pPr>
      <w:r>
        <w:rPr>
          <w:rFonts w:ascii="Times New Roman" w:hAnsi="Times New Roman" w:cs="Times New Roman" w:eastAsia="Times New Roman"/>
          <w:b w:val="0"/>
          <w:i w:val="0"/>
          <w:sz w:val="24"/>
        </w:rPr>
        <w:t xml:space="preserve">Estudios señalan que en la etapa universitaria existe una serie de factores que se encuentran asociados al rendimiento académico, por lo que resulta necesario hacer un seguimiento del aprendizaje del estudiante (Gutiérrez et al., 2023). Pues se trata de un nuevo escenario donde es necesario una readaptación de estrategias y maneras de aprender, esfuerzo y dedicación en estos tiempos competitivos (Armenta, 2019; Bravo et al., 2021; Jiménez-Puig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2019). Presentando situaciones de alta tensión y demanda al estudiante en diversos niveles (Antuñez y Vinet, 2013; Baader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2014; García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2012; Pozos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2015).</w:t>
      </w:r>
    </w:p>
    <w:p>
      <w:pPr>
        <w:spacing w:before="0" w:after="160" w:line="360" w:lineRule="auto"/>
        <w:ind w:firstLine="720"/>
        <w:jc w:val="both"/>
      </w:pPr>
      <w:r>
        <w:rPr>
          <w:rFonts w:ascii="Times New Roman" w:hAnsi="Times New Roman" w:cs="Times New Roman" w:eastAsia="Times New Roman"/>
          <w:b w:val="0"/>
          <w:i w:val="0"/>
          <w:sz w:val="24"/>
        </w:rPr>
        <w:t>En el Perú existe un vacío entre la Educación Básica Regular (EBR) y la Educación Superior, de manera que el tránsito de estos dos niveles resulta muchas veces muy frustrante para el estudiante de los primeros ciclos; que al inicio de su vida universitaria puede sentirse abrumado frente a la nueva carga académica y al diferente proceso de enseñanza.</w:t>
      </w:r>
    </w:p>
    <w:p>
      <w:pPr>
        <w:spacing w:before="0" w:after="160" w:line="360" w:lineRule="auto"/>
        <w:ind w:firstLine="720"/>
        <w:jc w:val="both"/>
      </w:pPr>
      <w:r>
        <w:rPr>
          <w:rFonts w:ascii="Times New Roman" w:hAnsi="Times New Roman" w:cs="Times New Roman" w:eastAsia="Times New Roman"/>
          <w:b w:val="0"/>
          <w:i w:val="0"/>
          <w:sz w:val="24"/>
        </w:rPr>
        <w:t xml:space="preserve">A fin de poder afrontar de manera exitosa las exigencias que conlleva esta nueva etapa de su vida que es la Educación Superior (Jiménez-Puig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2019), donde estos resultados se ven evidenciados en el desempeño académico; siendo necesario brindarle herramientas adecuadas a fin de que su aprendizaje sea idóneo, y esto pueda verse reflejado en su rendimiento. Con ello se logrará tener profesionales capacitados y preparados para este mundo competitivo, logrando la inserción laboral, permitiendo el crecimiento y desarrollo del país. Se sabe que uno de los factores que ocasiona que un estudiante universitario tome la decisión de abandonar sus estudios es el tema de su rendimiento académico, por lo que es de suma importancia tener un panorama claro de cómo el estudiante viene percibiendo su desenvolvimiento dentro de las aulas.</w:t>
      </w:r>
    </w:p>
    <w:p>
      <w:pPr>
        <w:spacing w:before="0" w:after="160" w:line="360" w:lineRule="auto"/>
        <w:ind w:firstLine="720"/>
        <w:jc w:val="both"/>
      </w:pPr>
      <w:r>
        <w:rPr>
          <w:rFonts w:ascii="Times New Roman" w:hAnsi="Times New Roman" w:cs="Times New Roman" w:eastAsia="Times New Roman"/>
          <w:b w:val="0"/>
          <w:i w:val="0"/>
          <w:sz w:val="24"/>
        </w:rPr>
        <w:t>Por lo que se plantea como pregunta de investigación: ¿Cómo percibe el estudiante universitario su rendimiento académico?, siendo el objetivo estimar el nivel de rendimiento académico desde el análisis subjetivo del estudiante universitario que viene cursando sus estudios en la modalidad presencial. Esto resulta ser de mucha importancia, porque el cómo perciben su desenvolvimiento académico dentro de las aulas universitarios puede generar que desista de continuar con sus estudios universitarios.</w:t>
      </w:r>
    </w:p>
    <w:p>
      <w:pPr>
        <w:keepNext/>
        <w:spacing w:before="320" w:after="160" w:line="360" w:lineRule="auto"/>
        <w:jc w:val="left"/>
      </w:pPr>
      <w:r>
        <w:rPr>
          <w:rFonts w:ascii="Times New Roman" w:hAnsi="Times New Roman" w:cs="Times New Roman" w:eastAsia="Times New Roman"/>
          <w:b/>
          <w:i/>
          <w:sz w:val="24"/>
        </w:rPr>
        <w:t>1.1. Rendimento académico</w:t>
      </w:r>
    </w:p>
    <w:p>
      <w:pPr>
        <w:spacing w:before="0" w:after="160" w:line="360" w:lineRule="auto"/>
        <w:ind w:firstLine="720"/>
        <w:jc w:val="both"/>
      </w:pPr>
      <w:r>
        <w:rPr>
          <w:rFonts w:ascii="Times New Roman" w:hAnsi="Times New Roman" w:cs="Times New Roman" w:eastAsia="Times New Roman"/>
          <w:b w:val="0"/>
          <w:i w:val="0"/>
          <w:sz w:val="24"/>
        </w:rPr>
        <w:t>El rendimiento académico, por ser un concepto visto desde varias dimensiones, se puede considerar su análisis a la cantidad y la condición que se obtiene en los procesos de enseñanza – aprendizaje. Del mismo modo, se toma como indicador en la medición de eficiencia de un sistema educativo involucrando a sus actores (docentes y estudiantes) en busca de la mejora de este proceso. Por ello, se destaca como un concepto que engloba el sentido de resultado de procedimientos cuidadosamente organizados basados en objetivos, utilizando estrategias y otros recursos en los distintos niveles, como es la educación (Grasso, 2020).</w:t>
      </w:r>
    </w:p>
    <w:p>
      <w:pPr>
        <w:spacing w:before="0" w:after="160" w:line="360" w:lineRule="auto"/>
        <w:ind w:firstLine="720"/>
        <w:jc w:val="both"/>
      </w:pPr>
      <w:r>
        <w:rPr>
          <w:rFonts w:ascii="Times New Roman" w:hAnsi="Times New Roman" w:cs="Times New Roman" w:eastAsia="Times New Roman"/>
          <w:b w:val="0"/>
          <w:i w:val="0"/>
          <w:sz w:val="24"/>
        </w:rPr>
        <w:t xml:space="preserve">En los contextos de la Psicología y Educación, el concepto de Rendimiento Académico es el que aborda mayor campo de estudio, debido a que, como se había mencionado antes, este representa la medida de resultados del aprendizaje y aplicación de lo aprendido. Es decir, cuando es más elevada dicho rendimiento se refleja en el mejor desempeño del estudiante. Esto considerando los distintos factores que median la situación, el cual últimamente está relacionado a la productividad y logro de objetivos (Carnell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2020)</w:t>
      </w:r>
    </w:p>
    <w:p>
      <w:pPr>
        <w:spacing w:before="0" w:after="160" w:line="360" w:lineRule="auto"/>
        <w:ind w:firstLine="720"/>
        <w:jc w:val="both"/>
      </w:pPr>
      <w:r>
        <w:rPr>
          <w:rFonts w:ascii="Times New Roman" w:hAnsi="Times New Roman" w:cs="Times New Roman" w:eastAsia="Times New Roman"/>
          <w:b w:val="0"/>
          <w:i w:val="0"/>
          <w:sz w:val="24"/>
        </w:rPr>
        <w:t xml:space="preserve">La complejidad del concepto es debido a la influencia de múltiples factores. Por ello, existen diversos estudios que abarcan la investigación de la amplia gama de causales considerando, sociales, económicos, culturales, personales pasando por los institucionales. Además, se toma como la medición de las competencias, objetivos alcanzados, como percibe su progreso propio el estudiante. Adicionalmente, se estudia los aspectos extrínsecos que definen el rendimiento académico, considerando aspectos simples como son la personalidad, su aptitud, su motivación, su memoria, las competencias con las que cuenta, etc. (Real-Dellor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2023). Otros factores que también son estudiados son los extrínsecos como características demográficas, relaciones sociales, transportes, entre otros.</w:t>
      </w:r>
    </w:p>
    <w:p>
      <w:pPr>
        <w:spacing w:before="0" w:after="160" w:line="360" w:lineRule="auto"/>
        <w:ind w:firstLine="720"/>
        <w:jc w:val="both"/>
      </w:pPr>
      <w:r>
        <w:rPr>
          <w:rFonts w:ascii="Times New Roman" w:hAnsi="Times New Roman" w:cs="Times New Roman" w:eastAsia="Times New Roman"/>
          <w:b w:val="0"/>
          <w:i w:val="0"/>
          <w:sz w:val="24"/>
        </w:rPr>
        <w:t xml:space="preserve">Aspectos individuales, así como los contextuales se consideran como causas influyentes. Entre ellas se estudia los factores sociodemográficos que abarca el nivel de instrucción de los progenitores son los que se relacionan con el nivel del rendimiento académico. Otra causa también asociada son los recursos con los que cuenta la familia para reflejar el rendimiento esperado (Jimenes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2023). Además, diversas investigaciones continúan resaltando a las variables como edad, género, nacional, etc., asociándolas con los conocimientos y experiencias previas. Sumado a esto la metodología de enseñanza o estrategias para el aprendizaje también son tomados en consideración como factores contextuales (Karadağ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2015).</w:t>
      </w:r>
    </w:p>
    <w:p>
      <w:pPr>
        <w:spacing w:before="0" w:after="160" w:line="360" w:lineRule="auto"/>
        <w:ind w:firstLine="720"/>
        <w:jc w:val="both"/>
      </w:pPr>
      <w:r>
        <w:rPr>
          <w:rFonts w:ascii="Times New Roman" w:hAnsi="Times New Roman" w:cs="Times New Roman" w:eastAsia="Times New Roman"/>
          <w:b w:val="0"/>
          <w:i w:val="0"/>
          <w:sz w:val="24"/>
        </w:rPr>
        <w:t xml:space="preserve">Por otro lado, los hábitos saludables como el tiempo adecuado de sueño, alimentación balanceada y práctica de actividad física son factores que inciden en el rendimiento académico. Diversos estudios han prestado atención a estos aspectos con lo que resulta una asociación positiva. En ese sentido, los resultados destacan que se debe de mejorar el comportamiento durante las actividades en el aula, asimismo el mejor desempeño en el aprendizaje de nuevas lenguas y las matemáticas (Shengxiang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2020).</w:t>
      </w:r>
    </w:p>
    <w:p>
      <w:pPr>
        <w:spacing w:before="0" w:after="160" w:line="360" w:lineRule="auto"/>
        <w:ind w:firstLine="720"/>
        <w:jc w:val="both"/>
      </w:pPr>
      <w:r>
        <w:rPr>
          <w:rFonts w:ascii="Times New Roman" w:hAnsi="Times New Roman" w:cs="Times New Roman" w:eastAsia="Times New Roman"/>
          <w:b w:val="0"/>
          <w:i w:val="0"/>
          <w:sz w:val="24"/>
        </w:rPr>
        <w:t xml:space="preserve">Entre los factores que también han ido sumándose a esta diversidad es la relacionada con la tecnología. Este recurso que en los últimos años se fue incluyendo de manera progresiva a la educación pasó a ser un elemento de urgente necesidad para enfrentar el periodo de la pandemia COVID-19. En este contexto se identificó, a través de sendas investigaciones, el impacto en el rendimiento académico y los procesos de evaluación de los aprendizajes. Por un lado, el uso de la tecnología en el proceso educativo llevó a captar mayor interés de un número de estudiantes en las actividades académicas, por lo tanto, podría llevar a generar un mejor desempeño en estos estudiantes. Por otro lado, se convirtió en un desafío para otro sector de la población, donde no contaban con el acceso al servicio de internet de manera constante, parcial o de ningún tipo, por lo cual esto llevó a repercutir en el rendimiento académico (Montenegro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2023). No obstante, la percepción del estudiante apunta que si bien es más atrayente el uso de las TICs en el proceso de enseñanza-aprendizaje, no es el del todo seguro que logren un impacto positivo en su rendimiento, ya que en ocasiones se encuentra a estudiantes que hacen un uso inadecuado de ellas. Eso se refleja cuando utilizan la tecnología para aprobar una evaluación más no para aprender la materia, mostrando un disminuido desempeño (Babatunde, 2020). Los estudios relacionados al rendimiento académico continúan identificando factores importantes, estas cada vez vienen evolucionando de acuerdo con el contexto. Sin embargo, no se puede negar que el uso de la tecnología tiene protagonismo en todos los ámbitos y niveles educativos.</w:t>
      </w:r>
    </w:p>
    <w:p>
      <w:pPr>
        <w:spacing w:before="0" w:after="160" w:line="360" w:lineRule="auto"/>
        <w:ind w:firstLine="720"/>
        <w:jc w:val="both"/>
      </w:pPr>
      <w:r>
        <w:rPr>
          <w:rFonts w:ascii="Times New Roman" w:hAnsi="Times New Roman" w:cs="Times New Roman" w:eastAsia="Times New Roman"/>
          <w:b w:val="0"/>
          <w:i w:val="0"/>
          <w:sz w:val="24"/>
        </w:rPr>
        <w:t xml:space="preserve">Abarcando el rendimiento académico en materias precisas y de importancia como base en el ámbito universitario se ubica el desenvolvimiento en la comunicación escrita. Hay que resaltar que dicha habilidad, muy bien fortalecida, permitirá estar preparado(a) para el ámbito laboral. En este caso, la tecnología también viene siendo utilizada para ejercitar el proceso de redacción académica. En diversos estudios se encontró que puede servir como instrumento de acompañamiento para el procedimiento de búsqueda de información con el cual permite gestionar en un nuevo producto. Existen una serie de herramientas que son utilizados con el propósito de mejorar la redacción de universitarios. Por todo esto, que se identifican ventajas de incluir estos recursos para mejorar las habilidades de comunicación escrita con lo que llevaría a elevar otras competencias conllevando a un mejor rendimiento académico. Sin embargo, se debe considerar que para incluir la tecnología han variado los procesos de enseñanza-aprendizaje. Los estudiantes aprenden estrategias de planificación con lo que influye en mejorar su rendimiento (Valdés-León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2022).</w:t>
      </w:r>
    </w:p>
    <w:p>
      <w:pPr>
        <w:spacing w:before="0" w:after="160" w:line="360" w:lineRule="auto"/>
        <w:ind w:firstLine="720"/>
        <w:jc w:val="both"/>
      </w:pPr>
      <w:r>
        <w:rPr>
          <w:rFonts w:ascii="Times New Roman" w:hAnsi="Times New Roman" w:cs="Times New Roman" w:eastAsia="Times New Roman"/>
          <w:b w:val="0"/>
          <w:i w:val="0"/>
          <w:sz w:val="24"/>
        </w:rPr>
        <w:t>Siguiendo la línea de abarcar el rendimiento académico del alumnado universitario en materias específicas se ubica la enseñanza de la matemática y respecto a esto cómo algunas investigaciones identifican ideas centradas en la complejidad de esta materia. Adicionalmente, se resalta el compromiso del estudiante y la conducta que adopta en el desarrollo de la asignatura para alcanzar un mayor desempeño (Mello-Román y Gómez-Chacón, 2022).</w:t>
      </w:r>
    </w:p>
    <w:p>
      <w:pPr>
        <w:spacing w:before="0" w:after="160" w:line="360" w:lineRule="auto"/>
        <w:ind w:firstLine="720"/>
        <w:jc w:val="both"/>
      </w:pPr>
      <w:r>
        <w:rPr>
          <w:rFonts w:ascii="Times New Roman" w:hAnsi="Times New Roman" w:cs="Times New Roman" w:eastAsia="Times New Roman"/>
          <w:b w:val="0"/>
          <w:i w:val="0"/>
          <w:sz w:val="24"/>
        </w:rPr>
        <w:t xml:space="preserve">Los estilos de aprendizaje son considerados como factores que se cataloga importante al relacionarse con el rendimiento académico. Estos se pueden identificar en el desarrollo de las distintas asignaturas en el curso de la carrera. En ese sentido, existen cuatros estilos de aprendizaje que se relacionan a la formación del educando en las áreas de salud, ciencias jurídicas e ingenierías. Uno de ellos es el estilo activo que se caracteriza por que el estudiante es espontaneo y arriesgado. Otro es el estilo reflexivo donde lo identifica como analítico y exhaustivo. Un tercer estilo relacionado también es el teórico que reflejan en el universitario una actitud metódica y crítica. Y el cuarto estilo de aprendizaje considerado es el pragmático donde se refleja un estudiante que se muestra experimentador(a), práctica(o) y realista. Las investigaciones que ha abordado esta relación hallaron que al existir inclinación por un estilo esto conlleva a desarrollar con un mejor desempeño la asignatura. Por ello estudiar con mayor profundidad los estilos de aprendizaje y su relación con el rendimiento académico puede aportar en la mejora de estructuras curriculares de las universidades (Alvis-Arrieta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2023).</w:t>
      </w:r>
    </w:p>
    <w:p>
      <w:pPr>
        <w:spacing w:before="0" w:after="160" w:line="360" w:lineRule="auto"/>
        <w:ind w:firstLine="720"/>
        <w:jc w:val="both"/>
      </w:pPr>
      <w:r>
        <w:rPr>
          <w:rFonts w:ascii="Times New Roman" w:hAnsi="Times New Roman" w:cs="Times New Roman" w:eastAsia="Times New Roman"/>
          <w:b w:val="0"/>
          <w:i w:val="0"/>
          <w:sz w:val="24"/>
        </w:rPr>
        <w:t xml:space="preserve">El factor que trascendió a nivel mundial fue el contexto pandemia COVID-19 provocada por la generación del virus SARSCov-2. Esto conlleva a una cadena causal que iniciaba con el confinamiento, esto conllevaba a reestructuración de la metodología de enseñanza, que en este caso se optó por la modalidad virtual. En investigaciones realizados acerca del rendimiento académico en ese periodo daban cuenta de los que estaban recibiendo clases en esta modalidad manifestaban mejorías; sin embargo, había la otra parte donde se elevaba el número de deserción (Monroy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2022).</w:t>
      </w:r>
    </w:p>
    <w:p>
      <w:pPr>
        <w:spacing w:before="0" w:after="160" w:line="360" w:lineRule="auto"/>
        <w:ind w:firstLine="720"/>
        <w:jc w:val="both"/>
      </w:pPr>
      <w:r>
        <w:rPr>
          <w:rFonts w:ascii="Times New Roman" w:hAnsi="Times New Roman" w:cs="Times New Roman" w:eastAsia="Times New Roman"/>
          <w:b w:val="0"/>
          <w:i w:val="0"/>
          <w:sz w:val="24"/>
        </w:rPr>
        <w:t>Continuando con el abordaje de factores que influyen en el rendimiento académico de los universitarios se encontró trabajos que consideran al uso inadecuado del móvil como generador de impacto significativo en el desempeño en las actividades y el rendimiento académicos. Se entiende que luego del periodo de pandemia se incrementó el uso de la TIC, por razones concebibles como la continuación del proyecto académico. Sin embargo, esto ha generado también a elevar el uso de los aparatados tecnológicos como es en gran medida el celular. Sumado a esto, se identifica una falta de regulación y autorregulación del uso. Si bien los docentes propician el uso de estos aparatos para una mayor fluidez en la comunicación y transmisión de información, no se suma a esto una enseñanza en la regulación, lo cual deja una puerta abierta para se inclinen más al uso recreativo lo cual conlleva a disminuir el tiempo en atender sus actividades académicas. Asimismo, algo que se observa es que cuanto más jóvenes son los que lo ingresan a la universidad existe una mayor dependencia del móvil (Orosco y Cortez, 2020).</w:t>
      </w:r>
    </w:p>
    <w:p>
      <w:pPr>
        <w:keepNext/>
        <w:spacing w:before="480" w:after="160" w:line="360" w:lineRule="auto"/>
        <w:jc w:val="center"/>
      </w:pPr>
      <w:r>
        <w:rPr>
          <w:rFonts w:ascii="Times New Roman" w:hAnsi="Times New Roman" w:cs="Times New Roman" w:eastAsia="Times New Roman"/>
          <w:b/>
          <w:i w:val="0"/>
          <w:sz w:val="24"/>
        </w:rPr>
        <w:t>2. Metodología</w:t>
      </w:r>
    </w:p>
    <w:p>
      <w:pPr>
        <w:spacing w:before="0" w:after="160" w:line="360" w:lineRule="auto"/>
        <w:ind w:firstLine="720"/>
        <w:jc w:val="both"/>
      </w:pPr>
      <w:r>
        <w:rPr>
          <w:rFonts w:ascii="Times New Roman" w:hAnsi="Times New Roman" w:cs="Times New Roman" w:eastAsia="Times New Roman"/>
          <w:b w:val="0"/>
          <w:i w:val="0"/>
          <w:sz w:val="24"/>
        </w:rPr>
        <w:t>Bajo el positivismo (Sousa, 2007), el enfoque en el cual se fundamenta la investigación es el cuantitativo, de tipo transversal, de diseño no experimental exactamente un estudio descriptivo; siendo realizada durante el periodo de febrero a junio del 2024. La muestra estuvo constituida por 184 estudiantes de Ingeniería (99 varones y 85 mujeres) que estudiaban de manera presencial en una universidad de la Región de Ica (Perú), los cuales fueron seleccionados a través de un muestreo no probabilístico por conveniencia, la edad promedio de los que participaron del estudio fue de 19 años.</w:t>
      </w:r>
    </w:p>
    <w:p>
      <w:pPr>
        <w:spacing w:before="0" w:after="160" w:line="360" w:lineRule="auto"/>
        <w:ind w:firstLine="720"/>
        <w:jc w:val="both"/>
      </w:pPr>
      <w:r>
        <w:rPr>
          <w:rFonts w:ascii="Times New Roman" w:hAnsi="Times New Roman" w:cs="Times New Roman" w:eastAsia="Times New Roman"/>
          <w:b w:val="0"/>
          <w:i w:val="0"/>
          <w:sz w:val="24"/>
        </w:rPr>
        <w:t>Dentro de los criterios de selección se cumplieron los siguientes:</w:t>
      </w:r>
    </w:p>
    <w:p>
      <w:pPr>
        <w:spacing w:before="0" w:after="160" w:line="360" w:lineRule="auto"/>
        <w:ind w:firstLine="720"/>
        <w:jc w:val="both"/>
      </w:pPr>
      <w:r>
        <w:rPr>
          <w:rFonts w:ascii="Times New Roman" w:hAnsi="Times New Roman" w:cs="Times New Roman" w:eastAsia="Times New Roman"/>
          <w:b w:val="0"/>
          <w:i w:val="0"/>
          <w:sz w:val="24"/>
        </w:rPr>
        <w:t>Criterios de inclusión: Estudiantes que fueran mayores de edad de ambos sexos, que vengan cursando el I ciclo de la carrera profesional de Ingeniería y que acepten participar voluntariamente de la investigación previa firma del consentimiento informado.</w:t>
      </w:r>
    </w:p>
    <w:p>
      <w:pPr>
        <w:spacing w:before="0" w:after="160" w:line="360" w:lineRule="auto"/>
        <w:ind w:firstLine="720"/>
        <w:jc w:val="both"/>
      </w:pPr>
      <w:r>
        <w:rPr>
          <w:rFonts w:ascii="Times New Roman" w:hAnsi="Times New Roman" w:cs="Times New Roman" w:eastAsia="Times New Roman"/>
          <w:b w:val="0"/>
          <w:i w:val="0"/>
          <w:sz w:val="24"/>
        </w:rPr>
        <w:t>Criterios de exclusión: Menores de edad, así como que no deseen aceptar el consentimiento informado, participantes con poca predisposición al estudio y de otras carreras profesionales.</w:t>
      </w:r>
    </w:p>
    <w:p>
      <w:pPr>
        <w:spacing w:before="0" w:after="160" w:line="360" w:lineRule="auto"/>
        <w:ind w:firstLine="720"/>
        <w:jc w:val="both"/>
      </w:pPr>
      <w:r>
        <w:rPr>
          <w:rFonts w:ascii="Times New Roman" w:hAnsi="Times New Roman" w:cs="Times New Roman" w:eastAsia="Times New Roman"/>
          <w:b w:val="0"/>
          <w:i w:val="0"/>
          <w:sz w:val="24"/>
        </w:rPr>
        <w:t>El instrumento utilizado fue un cuestionario con variables sociodemográficas, académicas y laborales (edad, sexo, estado civil, segunda carrera profesional, si en algún momento ha dejado de estudiar. condición laboral), la variable principal fue evaluada a través de la Escala RAU de Rendimiento Académico Universitario construido y validado por Preciado-Serrano, et al. (2021), basada en 20 ítems; las cuales contienen tres dimensiones: A portación en las actividades académicas (11, 12, 13, 14, 15, 17, 16, 17, 18,20); Dedicación al estudio (1, 2, 3, 5, 19), y Falta de organización de los recursos didácticos (6, 7, 8, 9, 10); con opciones de respuesta de tipo Likert. Los índices de ajuste del análisis factorial confirmatorio realizado por Preciado-Serrano, et al. (2021), estuvieron dentro de los parámetros y la fiabilidad Alpha de Cronbach en la escala subjetiva fue aceptable en dos de tres factores (D1 α=.792; D2 α=.774) y moderada en el D3 (α=.542). Por otro lado, se procedió a realizar la confiabilidad de manera general obteniendo un Alpha de Cronbach de ,796.</w:t>
      </w:r>
    </w:p>
    <w:p>
      <w:pPr>
        <w:spacing w:before="0" w:after="160" w:line="360" w:lineRule="auto"/>
        <w:ind w:firstLine="720"/>
        <w:jc w:val="both"/>
      </w:pPr>
      <w:r>
        <w:rPr>
          <w:rFonts w:ascii="Times New Roman" w:hAnsi="Times New Roman" w:cs="Times New Roman" w:eastAsia="Times New Roman"/>
          <w:b w:val="0"/>
          <w:i w:val="0"/>
          <w:sz w:val="24"/>
        </w:rPr>
        <w:t>Para el análisis estadístico se trabajó con la Hoja de Cálculo de Microsoft Excel y el Sotfware SPSS “Statistical Package for the Social Sciences” versión 25, logrando obtener resultados descriptivos en los que se plasmó tanto la frecuencia relativa como absoluta.</w:t>
      </w:r>
    </w:p>
    <w:p>
      <w:pPr>
        <w:spacing w:before="0" w:after="160" w:line="360" w:lineRule="auto"/>
        <w:ind w:firstLine="720"/>
        <w:jc w:val="both"/>
      </w:pPr>
      <w:r>
        <w:rPr>
          <w:rFonts w:ascii="Times New Roman" w:hAnsi="Times New Roman" w:cs="Times New Roman" w:eastAsia="Times New Roman"/>
          <w:b w:val="0"/>
          <w:i w:val="0"/>
          <w:sz w:val="24"/>
        </w:rPr>
        <w:t>Se tuvo cuenta aspectos éticos fundamentados en la Declaración de Helsinki, es por ello por lo que se brindó el consentimiento informado a fin de que tengan de conocimiento la finalidad del estudio; por otro lado, se salvaguardó la identidad de los participantes. En todo momento se respetó los principios del respeto por las personas, de beneficencia, no maleficencia y la justicia.</w:t>
      </w:r>
    </w:p>
    <w:p>
      <w:pPr>
        <w:keepNext/>
        <w:spacing w:before="480" w:after="160" w:line="360" w:lineRule="auto"/>
        <w:jc w:val="center"/>
      </w:pPr>
      <w:r>
        <w:rPr>
          <w:rFonts w:ascii="Times New Roman" w:hAnsi="Times New Roman" w:cs="Times New Roman" w:eastAsia="Times New Roman"/>
          <w:b/>
          <w:i w:val="0"/>
          <w:sz w:val="24"/>
        </w:rPr>
        <w:t>3. Resultados</w:t>
      </w:r>
    </w:p>
    <w:p>
      <w:pPr>
        <w:spacing w:before="0" w:after="160" w:line="360" w:lineRule="auto"/>
        <w:ind w:firstLine="720"/>
        <w:jc w:val="both"/>
      </w:pPr>
      <w:r>
        <w:rPr>
          <w:rFonts w:ascii="Times New Roman" w:hAnsi="Times New Roman" w:cs="Times New Roman" w:eastAsia="Times New Roman"/>
          <w:b w:val="0"/>
          <w:i w:val="0"/>
          <w:sz w:val="24"/>
        </w:rPr>
        <w:t>A continuación, se presentan una serie de tablas y figuras que permiten una mejor comprensión del estudio.</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Datos sociodemográficos, académicos y laborales de los estudiantes universitarios</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2340"/>
        <w:gridCol w:w="2340"/>
        <w:gridCol w:w="2340"/>
        <w:gridCol w:w="2340"/>
      </w:tblGrid>
      <w:tr>
        <w:tc>
          <w:tcPr>
            <w:tcW w:type="dxa" w:w="2340"/>
          </w:tcPr>
          <w:p>
            <w:pPr>
              <w:spacing w:before="0" w:after="0" w:line="240" w:lineRule="auto"/>
              <w:jc w:val="left"/>
            </w:pPr>
          </w:p>
        </w:tc>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i w:val="0"/>
                <w:sz w:val="20"/>
              </w:rPr>
              <w:t>Frecuencia</w:t>
            </w:r>
          </w:p>
        </w:tc>
        <w:tc>
          <w:tcPr>
            <w:tcW w:type="dxa" w:w="2340"/>
          </w:tcPr>
          <w:p>
            <w:pPr>
              <w:spacing w:before="0" w:after="0" w:line="240" w:lineRule="auto"/>
              <w:jc w:val="left"/>
            </w:pPr>
            <w:r>
              <w:rPr>
                <w:rFonts w:ascii="Times New Roman" w:hAnsi="Times New Roman" w:cs="Times New Roman" w:eastAsia="Times New Roman"/>
                <w:b/>
                <w:i w:val="0"/>
                <w:sz w:val="20"/>
              </w:rPr>
              <w:t>Porcentaje</w:t>
            </w:r>
          </w:p>
        </w:tc>
      </w:tr>
      <w:tr>
        <w:tc>
          <w:tcPr>
            <w:tcW w:type="dxa" w:w="2340"/>
          </w:tcPr>
          <w:p>
            <w:pPr>
              <w:spacing w:before="0" w:after="0" w:line="240" w:lineRule="auto"/>
              <w:jc w:val="left"/>
            </w:pPr>
            <w:r>
              <w:rPr>
                <w:rFonts w:ascii="Times New Roman" w:hAnsi="Times New Roman" w:cs="Times New Roman" w:eastAsia="Times New Roman"/>
                <w:b w:val="0"/>
                <w:i w:val="0"/>
                <w:sz w:val="20"/>
              </w:rPr>
              <w:t>Sexo</w:t>
            </w:r>
          </w:p>
        </w:tc>
        <w:tc>
          <w:tcPr>
            <w:tcW w:type="dxa" w:w="2340"/>
          </w:tcPr>
          <w:p>
            <w:pPr>
              <w:spacing w:before="0" w:after="0" w:line="240" w:lineRule="auto"/>
              <w:jc w:val="left"/>
            </w:pPr>
            <w:r>
              <w:rPr>
                <w:rFonts w:ascii="Times New Roman" w:hAnsi="Times New Roman" w:cs="Times New Roman" w:eastAsia="Times New Roman"/>
                <w:b w:val="0"/>
                <w:i w:val="0"/>
                <w:sz w:val="20"/>
              </w:rPr>
              <w:t>Masculino</w:t>
            </w:r>
          </w:p>
        </w:tc>
        <w:tc>
          <w:tcPr>
            <w:tcW w:type="dxa" w:w="2340"/>
          </w:tcPr>
          <w:p>
            <w:pPr>
              <w:spacing w:before="0" w:after="0" w:line="240" w:lineRule="auto"/>
              <w:jc w:val="left"/>
            </w:pPr>
            <w:r>
              <w:rPr>
                <w:rFonts w:ascii="Times New Roman" w:hAnsi="Times New Roman" w:cs="Times New Roman" w:eastAsia="Times New Roman"/>
                <w:b w:val="0"/>
                <w:i w:val="0"/>
                <w:sz w:val="20"/>
              </w:rPr>
              <w:t>99</w:t>
            </w:r>
          </w:p>
        </w:tc>
        <w:tc>
          <w:tcPr>
            <w:tcW w:type="dxa" w:w="2340"/>
          </w:tcPr>
          <w:p>
            <w:pPr>
              <w:spacing w:before="0" w:after="0" w:line="240" w:lineRule="auto"/>
              <w:jc w:val="left"/>
            </w:pPr>
            <w:r>
              <w:rPr>
                <w:rFonts w:ascii="Times New Roman" w:hAnsi="Times New Roman" w:cs="Times New Roman" w:eastAsia="Times New Roman"/>
                <w:b w:val="0"/>
                <w:i w:val="0"/>
                <w:sz w:val="20"/>
              </w:rPr>
              <w:t>53,8%</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Femenino</w:t>
            </w:r>
          </w:p>
        </w:tc>
        <w:tc>
          <w:tcPr>
            <w:tcW w:type="dxa" w:w="2340"/>
          </w:tcPr>
          <w:p>
            <w:pPr>
              <w:spacing w:before="0" w:after="0" w:line="240" w:lineRule="auto"/>
              <w:jc w:val="left"/>
            </w:pPr>
            <w:r>
              <w:rPr>
                <w:rFonts w:ascii="Times New Roman" w:hAnsi="Times New Roman" w:cs="Times New Roman" w:eastAsia="Times New Roman"/>
                <w:b w:val="0"/>
                <w:i w:val="0"/>
                <w:sz w:val="20"/>
              </w:rPr>
              <w:t>85</w:t>
            </w:r>
          </w:p>
        </w:tc>
        <w:tc>
          <w:tcPr>
            <w:tcW w:type="dxa" w:w="2340"/>
          </w:tcPr>
          <w:p>
            <w:pPr>
              <w:spacing w:before="0" w:after="0" w:line="240" w:lineRule="auto"/>
              <w:jc w:val="left"/>
            </w:pPr>
            <w:r>
              <w:rPr>
                <w:rFonts w:ascii="Times New Roman" w:hAnsi="Times New Roman" w:cs="Times New Roman" w:eastAsia="Times New Roman"/>
                <w:b w:val="0"/>
                <w:i w:val="0"/>
                <w:sz w:val="20"/>
              </w:rPr>
              <w:t>46,2%</w:t>
            </w:r>
          </w:p>
        </w:tc>
      </w:tr>
      <w:tr>
        <w:tc>
          <w:tcPr>
            <w:tcW w:type="dxa" w:w="2340"/>
          </w:tcPr>
          <w:p>
            <w:pPr>
              <w:spacing w:before="0" w:after="0" w:line="240" w:lineRule="auto"/>
              <w:jc w:val="left"/>
            </w:pPr>
            <w:r>
              <w:rPr>
                <w:rFonts w:ascii="Times New Roman" w:hAnsi="Times New Roman" w:cs="Times New Roman" w:eastAsia="Times New Roman"/>
                <w:b w:val="0"/>
                <w:i w:val="0"/>
                <w:sz w:val="20"/>
              </w:rPr>
              <w:t>Edad</w:t>
            </w:r>
          </w:p>
        </w:tc>
        <w:tc>
          <w:tcPr>
            <w:tcW w:type="dxa" w:w="2340"/>
          </w:tcPr>
          <w:p>
            <w:pPr>
              <w:spacing w:before="0" w:after="0" w:line="240" w:lineRule="auto"/>
              <w:jc w:val="left"/>
            </w:pPr>
            <w:r>
              <w:rPr>
                <w:rFonts w:ascii="Times New Roman" w:hAnsi="Times New Roman" w:cs="Times New Roman" w:eastAsia="Times New Roman"/>
                <w:b w:val="0"/>
                <w:i w:val="0"/>
                <w:sz w:val="20"/>
              </w:rPr>
              <w:t>≤ a 25 años</w:t>
            </w:r>
          </w:p>
        </w:tc>
        <w:tc>
          <w:tcPr>
            <w:tcW w:type="dxa" w:w="2340"/>
          </w:tcPr>
          <w:p>
            <w:pPr>
              <w:spacing w:before="0" w:after="0" w:line="240" w:lineRule="auto"/>
              <w:jc w:val="left"/>
            </w:pPr>
            <w:r>
              <w:rPr>
                <w:rFonts w:ascii="Times New Roman" w:hAnsi="Times New Roman" w:cs="Times New Roman" w:eastAsia="Times New Roman"/>
                <w:b w:val="0"/>
                <w:i w:val="0"/>
                <w:sz w:val="20"/>
              </w:rPr>
              <w:t>177</w:t>
            </w:r>
          </w:p>
        </w:tc>
        <w:tc>
          <w:tcPr>
            <w:tcW w:type="dxa" w:w="2340"/>
          </w:tcPr>
          <w:p>
            <w:pPr>
              <w:spacing w:before="0" w:after="0" w:line="240" w:lineRule="auto"/>
              <w:jc w:val="left"/>
            </w:pPr>
            <w:r>
              <w:rPr>
                <w:rFonts w:ascii="Times New Roman" w:hAnsi="Times New Roman" w:cs="Times New Roman" w:eastAsia="Times New Roman"/>
                <w:b w:val="0"/>
                <w:i w:val="0"/>
                <w:sz w:val="20"/>
              </w:rPr>
              <w:t>96,2%</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&gt; a 25 años</w:t>
            </w:r>
          </w:p>
        </w:tc>
        <w:tc>
          <w:tcPr>
            <w:tcW w:type="dxa" w:w="2340"/>
          </w:tcPr>
          <w:p>
            <w:pPr>
              <w:spacing w:before="0" w:after="0" w:line="240" w:lineRule="auto"/>
              <w:jc w:val="left"/>
            </w:pPr>
            <w:r>
              <w:rPr>
                <w:rFonts w:ascii="Times New Roman" w:hAnsi="Times New Roman" w:cs="Times New Roman" w:eastAsia="Times New Roman"/>
                <w:b w:val="0"/>
                <w:i w:val="0"/>
                <w:sz w:val="20"/>
              </w:rPr>
              <w:t>7</w:t>
            </w:r>
          </w:p>
        </w:tc>
        <w:tc>
          <w:tcPr>
            <w:tcW w:type="dxa" w:w="2340"/>
          </w:tcPr>
          <w:p>
            <w:pPr>
              <w:spacing w:before="0" w:after="0" w:line="240" w:lineRule="auto"/>
              <w:jc w:val="left"/>
            </w:pPr>
            <w:r>
              <w:rPr>
                <w:rFonts w:ascii="Times New Roman" w:hAnsi="Times New Roman" w:cs="Times New Roman" w:eastAsia="Times New Roman"/>
                <w:b w:val="0"/>
                <w:i w:val="0"/>
                <w:sz w:val="20"/>
              </w:rPr>
              <w:t>3,8%</w:t>
            </w:r>
          </w:p>
        </w:tc>
      </w:tr>
      <w:tr>
        <w:tc>
          <w:tcPr>
            <w:tcW w:type="dxa" w:w="2340"/>
          </w:tcPr>
          <w:p>
            <w:pPr>
              <w:spacing w:before="0" w:after="0" w:line="240" w:lineRule="auto"/>
              <w:jc w:val="left"/>
            </w:pPr>
            <w:r>
              <w:rPr>
                <w:rFonts w:ascii="Times New Roman" w:hAnsi="Times New Roman" w:cs="Times New Roman" w:eastAsia="Times New Roman"/>
                <w:b w:val="0"/>
                <w:i w:val="0"/>
                <w:sz w:val="20"/>
              </w:rPr>
              <w:t>Estado civil</w:t>
            </w:r>
          </w:p>
        </w:tc>
        <w:tc>
          <w:tcPr>
            <w:tcW w:type="dxa" w:w="2340"/>
          </w:tcPr>
          <w:p>
            <w:pPr>
              <w:spacing w:before="0" w:after="0" w:line="240" w:lineRule="auto"/>
              <w:jc w:val="left"/>
            </w:pPr>
            <w:r>
              <w:rPr>
                <w:rFonts w:ascii="Times New Roman" w:hAnsi="Times New Roman" w:cs="Times New Roman" w:eastAsia="Times New Roman"/>
                <w:b w:val="0"/>
                <w:i w:val="0"/>
                <w:sz w:val="20"/>
              </w:rPr>
              <w:t>Soltero(a)</w:t>
            </w:r>
          </w:p>
        </w:tc>
        <w:tc>
          <w:tcPr>
            <w:tcW w:type="dxa" w:w="2340"/>
          </w:tcPr>
          <w:p>
            <w:pPr>
              <w:spacing w:before="0" w:after="0" w:line="240" w:lineRule="auto"/>
              <w:jc w:val="left"/>
            </w:pPr>
            <w:r>
              <w:rPr>
                <w:rFonts w:ascii="Times New Roman" w:hAnsi="Times New Roman" w:cs="Times New Roman" w:eastAsia="Times New Roman"/>
                <w:b w:val="0"/>
                <w:i w:val="0"/>
                <w:sz w:val="20"/>
              </w:rPr>
              <w:t>177</w:t>
            </w:r>
          </w:p>
        </w:tc>
        <w:tc>
          <w:tcPr>
            <w:tcW w:type="dxa" w:w="2340"/>
          </w:tcPr>
          <w:p>
            <w:pPr>
              <w:spacing w:before="0" w:after="0" w:line="240" w:lineRule="auto"/>
              <w:jc w:val="left"/>
            </w:pPr>
            <w:r>
              <w:rPr>
                <w:rFonts w:ascii="Times New Roman" w:hAnsi="Times New Roman" w:cs="Times New Roman" w:eastAsia="Times New Roman"/>
                <w:b w:val="0"/>
                <w:i w:val="0"/>
                <w:sz w:val="20"/>
              </w:rPr>
              <w:t>96,2%</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Conviviente</w:t>
            </w:r>
          </w:p>
        </w:tc>
        <w:tc>
          <w:tcPr>
            <w:tcW w:type="dxa" w:w="2340"/>
          </w:tcPr>
          <w:p>
            <w:pPr>
              <w:spacing w:before="0" w:after="0" w:line="240" w:lineRule="auto"/>
              <w:jc w:val="left"/>
            </w:pPr>
            <w:r>
              <w:rPr>
                <w:rFonts w:ascii="Times New Roman" w:hAnsi="Times New Roman" w:cs="Times New Roman" w:eastAsia="Times New Roman"/>
                <w:b w:val="0"/>
                <w:i w:val="0"/>
                <w:sz w:val="20"/>
              </w:rPr>
              <w:t>3</w:t>
            </w:r>
          </w:p>
        </w:tc>
        <w:tc>
          <w:tcPr>
            <w:tcW w:type="dxa" w:w="2340"/>
          </w:tcPr>
          <w:p>
            <w:pPr>
              <w:spacing w:before="0" w:after="0" w:line="240" w:lineRule="auto"/>
              <w:jc w:val="left"/>
            </w:pPr>
            <w:r>
              <w:rPr>
                <w:rFonts w:ascii="Times New Roman" w:hAnsi="Times New Roman" w:cs="Times New Roman" w:eastAsia="Times New Roman"/>
                <w:b w:val="0"/>
                <w:i w:val="0"/>
                <w:sz w:val="20"/>
              </w:rPr>
              <w:t>1,6%</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Conviviente</w:t>
            </w:r>
          </w:p>
        </w:tc>
        <w:tc>
          <w:tcPr>
            <w:tcW w:type="dxa" w:w="2340"/>
          </w:tcPr>
          <w:p>
            <w:pPr>
              <w:spacing w:before="0" w:after="0" w:line="240" w:lineRule="auto"/>
              <w:jc w:val="left"/>
            </w:pPr>
            <w:r>
              <w:rPr>
                <w:rFonts w:ascii="Times New Roman" w:hAnsi="Times New Roman" w:cs="Times New Roman" w:eastAsia="Times New Roman"/>
                <w:b w:val="0"/>
                <w:i w:val="0"/>
                <w:sz w:val="20"/>
              </w:rPr>
              <w:t>3</w:t>
            </w:r>
          </w:p>
        </w:tc>
        <w:tc>
          <w:tcPr>
            <w:tcW w:type="dxa" w:w="2340"/>
          </w:tcPr>
          <w:p>
            <w:pPr>
              <w:spacing w:before="0" w:after="0" w:line="240" w:lineRule="auto"/>
              <w:jc w:val="left"/>
            </w:pPr>
            <w:r>
              <w:rPr>
                <w:rFonts w:ascii="Times New Roman" w:hAnsi="Times New Roman" w:cs="Times New Roman" w:eastAsia="Times New Roman"/>
                <w:b w:val="0"/>
                <w:i w:val="0"/>
                <w:sz w:val="20"/>
              </w:rPr>
              <w:t>1,6%</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Separado/divorciado (a)</w:t>
            </w:r>
          </w:p>
        </w:tc>
        <w:tc>
          <w:tcPr>
            <w:tcW w:type="dxa" w:w="2340"/>
          </w:tcPr>
          <w:p>
            <w:pPr>
              <w:spacing w:before="0" w:after="0" w:line="240" w:lineRule="auto"/>
              <w:jc w:val="left"/>
            </w:pPr>
            <w:r>
              <w:rPr>
                <w:rFonts w:ascii="Times New Roman" w:hAnsi="Times New Roman" w:cs="Times New Roman" w:eastAsia="Times New Roman"/>
                <w:b w:val="0"/>
                <w:i w:val="0"/>
                <w:sz w:val="20"/>
              </w:rPr>
              <w:t>0</w:t>
            </w:r>
          </w:p>
        </w:tc>
        <w:tc>
          <w:tcPr>
            <w:tcW w:type="dxa" w:w="2340"/>
          </w:tcPr>
          <w:p>
            <w:pPr>
              <w:spacing w:before="0" w:after="0" w:line="240" w:lineRule="auto"/>
              <w:jc w:val="left"/>
            </w:pPr>
            <w:r>
              <w:rPr>
                <w:rFonts w:ascii="Times New Roman" w:hAnsi="Times New Roman" w:cs="Times New Roman" w:eastAsia="Times New Roman"/>
                <w:b w:val="0"/>
                <w:i w:val="0"/>
                <w:sz w:val="20"/>
              </w:rPr>
              <w:t>0,0%</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Viudo</w:t>
            </w:r>
          </w:p>
        </w:tc>
        <w:tc>
          <w:tcPr>
            <w:tcW w:type="dxa" w:w="2340"/>
          </w:tcPr>
          <w:p>
            <w:pPr>
              <w:spacing w:before="0" w:after="0" w:line="240" w:lineRule="auto"/>
              <w:jc w:val="left"/>
            </w:pPr>
            <w:r>
              <w:rPr>
                <w:rFonts w:ascii="Times New Roman" w:hAnsi="Times New Roman" w:cs="Times New Roman" w:eastAsia="Times New Roman"/>
                <w:b w:val="0"/>
                <w:i w:val="0"/>
                <w:sz w:val="20"/>
              </w:rPr>
              <w:t>1</w:t>
            </w:r>
          </w:p>
        </w:tc>
        <w:tc>
          <w:tcPr>
            <w:tcW w:type="dxa" w:w="2340"/>
          </w:tcPr>
          <w:p>
            <w:pPr>
              <w:spacing w:before="0" w:after="0" w:line="240" w:lineRule="auto"/>
              <w:jc w:val="left"/>
            </w:pPr>
            <w:r>
              <w:rPr>
                <w:rFonts w:ascii="Times New Roman" w:hAnsi="Times New Roman" w:cs="Times New Roman" w:eastAsia="Times New Roman"/>
                <w:b w:val="0"/>
                <w:i w:val="0"/>
                <w:sz w:val="20"/>
              </w:rPr>
              <w:t>0,5%</w:t>
            </w:r>
          </w:p>
        </w:tc>
      </w:tr>
      <w:tr>
        <w:tc>
          <w:tcPr>
            <w:tcW w:type="dxa" w:w="2340"/>
          </w:tcPr>
          <w:p>
            <w:pPr>
              <w:spacing w:before="0" w:after="0" w:line="240" w:lineRule="auto"/>
              <w:jc w:val="left"/>
            </w:pPr>
            <w:r>
              <w:rPr>
                <w:rFonts w:ascii="Times New Roman" w:hAnsi="Times New Roman" w:cs="Times New Roman" w:eastAsia="Times New Roman"/>
                <w:b w:val="0"/>
                <w:i w:val="0"/>
                <w:sz w:val="20"/>
              </w:rPr>
              <w:t>Segunda carrera profesional</w:t>
            </w:r>
          </w:p>
        </w:tc>
        <w:tc>
          <w:tcPr>
            <w:tcW w:type="dxa" w:w="2340"/>
          </w:tcPr>
          <w:p>
            <w:pPr>
              <w:spacing w:before="0" w:after="0" w:line="240" w:lineRule="auto"/>
              <w:jc w:val="left"/>
            </w:pPr>
            <w:r>
              <w:rPr>
                <w:rFonts w:ascii="Times New Roman" w:hAnsi="Times New Roman" w:cs="Times New Roman" w:eastAsia="Times New Roman"/>
                <w:b w:val="0"/>
                <w:i w:val="0"/>
                <w:sz w:val="20"/>
              </w:rPr>
              <w:t>Sí</w:t>
            </w:r>
          </w:p>
        </w:tc>
        <w:tc>
          <w:tcPr>
            <w:tcW w:type="dxa" w:w="2340"/>
          </w:tcPr>
          <w:p>
            <w:pPr>
              <w:spacing w:before="0" w:after="0" w:line="240" w:lineRule="auto"/>
              <w:jc w:val="left"/>
            </w:pPr>
            <w:r>
              <w:rPr>
                <w:rFonts w:ascii="Times New Roman" w:hAnsi="Times New Roman" w:cs="Times New Roman" w:eastAsia="Times New Roman"/>
                <w:b w:val="0"/>
                <w:i w:val="0"/>
                <w:sz w:val="20"/>
              </w:rPr>
              <w:t>18</w:t>
            </w:r>
          </w:p>
        </w:tc>
        <w:tc>
          <w:tcPr>
            <w:tcW w:type="dxa" w:w="2340"/>
          </w:tcPr>
          <w:p>
            <w:pPr>
              <w:spacing w:before="0" w:after="0" w:line="240" w:lineRule="auto"/>
              <w:jc w:val="left"/>
            </w:pPr>
            <w:r>
              <w:rPr>
                <w:rFonts w:ascii="Times New Roman" w:hAnsi="Times New Roman" w:cs="Times New Roman" w:eastAsia="Times New Roman"/>
                <w:b w:val="0"/>
                <w:i w:val="0"/>
                <w:sz w:val="20"/>
              </w:rPr>
              <w:t>9,8%</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No</w:t>
            </w:r>
          </w:p>
        </w:tc>
        <w:tc>
          <w:tcPr>
            <w:tcW w:type="dxa" w:w="2340"/>
          </w:tcPr>
          <w:p>
            <w:pPr>
              <w:spacing w:before="0" w:after="0" w:line="240" w:lineRule="auto"/>
              <w:jc w:val="left"/>
            </w:pPr>
            <w:r>
              <w:rPr>
                <w:rFonts w:ascii="Times New Roman" w:hAnsi="Times New Roman" w:cs="Times New Roman" w:eastAsia="Times New Roman"/>
                <w:b w:val="0"/>
                <w:i w:val="0"/>
                <w:sz w:val="20"/>
              </w:rPr>
              <w:t>166</w:t>
            </w:r>
          </w:p>
        </w:tc>
        <w:tc>
          <w:tcPr>
            <w:tcW w:type="dxa" w:w="2340"/>
          </w:tcPr>
          <w:p>
            <w:pPr>
              <w:spacing w:before="0" w:after="0" w:line="240" w:lineRule="auto"/>
              <w:jc w:val="left"/>
            </w:pPr>
            <w:r>
              <w:rPr>
                <w:rFonts w:ascii="Times New Roman" w:hAnsi="Times New Roman" w:cs="Times New Roman" w:eastAsia="Times New Roman"/>
                <w:b w:val="0"/>
                <w:i w:val="0"/>
                <w:sz w:val="20"/>
              </w:rPr>
              <w:t>90,2%</w:t>
            </w:r>
          </w:p>
        </w:tc>
      </w:tr>
      <w:tr>
        <w:tc>
          <w:tcPr>
            <w:tcW w:type="dxa" w:w="2340"/>
          </w:tcPr>
          <w:p>
            <w:pPr>
              <w:spacing w:before="0" w:after="0" w:line="240" w:lineRule="auto"/>
              <w:jc w:val="left"/>
            </w:pPr>
            <w:r>
              <w:rPr>
                <w:rFonts w:ascii="Times New Roman" w:hAnsi="Times New Roman" w:cs="Times New Roman" w:eastAsia="Times New Roman"/>
                <w:b w:val="0"/>
                <w:i w:val="0"/>
                <w:sz w:val="20"/>
              </w:rPr>
              <w:t>Algún momento dejo de estudiar</w:t>
            </w:r>
          </w:p>
        </w:tc>
        <w:tc>
          <w:tcPr>
            <w:tcW w:type="dxa" w:w="2340"/>
          </w:tcPr>
          <w:p>
            <w:pPr>
              <w:spacing w:before="0" w:after="0" w:line="240" w:lineRule="auto"/>
              <w:jc w:val="left"/>
            </w:pPr>
            <w:r>
              <w:rPr>
                <w:rFonts w:ascii="Times New Roman" w:hAnsi="Times New Roman" w:cs="Times New Roman" w:eastAsia="Times New Roman"/>
                <w:b w:val="0"/>
                <w:i w:val="0"/>
                <w:sz w:val="20"/>
              </w:rPr>
              <w:t>Sí</w:t>
            </w:r>
          </w:p>
        </w:tc>
        <w:tc>
          <w:tcPr>
            <w:tcW w:type="dxa" w:w="2340"/>
          </w:tcPr>
          <w:p>
            <w:pPr>
              <w:spacing w:before="0" w:after="0" w:line="240" w:lineRule="auto"/>
              <w:jc w:val="left"/>
            </w:pPr>
            <w:r>
              <w:rPr>
                <w:rFonts w:ascii="Times New Roman" w:hAnsi="Times New Roman" w:cs="Times New Roman" w:eastAsia="Times New Roman"/>
                <w:b w:val="0"/>
                <w:i w:val="0"/>
                <w:sz w:val="20"/>
              </w:rPr>
              <w:t>33</w:t>
            </w:r>
          </w:p>
        </w:tc>
        <w:tc>
          <w:tcPr>
            <w:tcW w:type="dxa" w:w="2340"/>
          </w:tcPr>
          <w:p>
            <w:pPr>
              <w:spacing w:before="0" w:after="0" w:line="240" w:lineRule="auto"/>
              <w:jc w:val="left"/>
            </w:pPr>
            <w:r>
              <w:rPr>
                <w:rFonts w:ascii="Times New Roman" w:hAnsi="Times New Roman" w:cs="Times New Roman" w:eastAsia="Times New Roman"/>
                <w:b w:val="0"/>
                <w:i w:val="0"/>
                <w:sz w:val="20"/>
              </w:rPr>
              <w:t>17,9%</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No</w:t>
            </w:r>
          </w:p>
        </w:tc>
        <w:tc>
          <w:tcPr>
            <w:tcW w:type="dxa" w:w="2340"/>
          </w:tcPr>
          <w:p>
            <w:pPr>
              <w:spacing w:before="0" w:after="0" w:line="240" w:lineRule="auto"/>
              <w:jc w:val="left"/>
            </w:pPr>
            <w:r>
              <w:rPr>
                <w:rFonts w:ascii="Times New Roman" w:hAnsi="Times New Roman" w:cs="Times New Roman" w:eastAsia="Times New Roman"/>
                <w:b w:val="0"/>
                <w:i w:val="0"/>
                <w:sz w:val="20"/>
              </w:rPr>
              <w:t>151</w:t>
            </w:r>
          </w:p>
        </w:tc>
        <w:tc>
          <w:tcPr>
            <w:tcW w:type="dxa" w:w="2340"/>
          </w:tcPr>
          <w:p>
            <w:pPr>
              <w:spacing w:before="0" w:after="0" w:line="240" w:lineRule="auto"/>
              <w:jc w:val="left"/>
            </w:pPr>
            <w:r>
              <w:rPr>
                <w:rFonts w:ascii="Times New Roman" w:hAnsi="Times New Roman" w:cs="Times New Roman" w:eastAsia="Times New Roman"/>
                <w:b w:val="0"/>
                <w:i w:val="0"/>
                <w:sz w:val="20"/>
              </w:rPr>
              <w:t>82,1%</w:t>
            </w:r>
          </w:p>
        </w:tc>
      </w:tr>
      <w:tr>
        <w:tc>
          <w:tcPr>
            <w:tcW w:type="dxa" w:w="2340"/>
          </w:tcPr>
          <w:p>
            <w:pPr>
              <w:spacing w:before="0" w:after="0" w:line="240" w:lineRule="auto"/>
              <w:jc w:val="left"/>
            </w:pPr>
            <w:r>
              <w:rPr>
                <w:rFonts w:ascii="Times New Roman" w:hAnsi="Times New Roman" w:cs="Times New Roman" w:eastAsia="Times New Roman"/>
                <w:b w:val="0"/>
                <w:i w:val="0"/>
                <w:sz w:val="20"/>
              </w:rPr>
              <w:t>Condición laboral</w:t>
            </w:r>
          </w:p>
        </w:tc>
        <w:tc>
          <w:tcPr>
            <w:tcW w:type="dxa" w:w="2340"/>
          </w:tcPr>
          <w:p>
            <w:pPr>
              <w:spacing w:before="0" w:after="0" w:line="240" w:lineRule="auto"/>
              <w:jc w:val="left"/>
            </w:pPr>
            <w:r>
              <w:rPr>
                <w:rFonts w:ascii="Times New Roman" w:hAnsi="Times New Roman" w:cs="Times New Roman" w:eastAsia="Times New Roman"/>
                <w:b w:val="0"/>
                <w:i w:val="0"/>
                <w:sz w:val="20"/>
              </w:rPr>
              <w:t>Solo estudia</w:t>
            </w:r>
          </w:p>
        </w:tc>
        <w:tc>
          <w:tcPr>
            <w:tcW w:type="dxa" w:w="2340"/>
          </w:tcPr>
          <w:p>
            <w:pPr>
              <w:spacing w:before="0" w:after="0" w:line="240" w:lineRule="auto"/>
              <w:jc w:val="left"/>
            </w:pPr>
            <w:r>
              <w:rPr>
                <w:rFonts w:ascii="Times New Roman" w:hAnsi="Times New Roman" w:cs="Times New Roman" w:eastAsia="Times New Roman"/>
                <w:b w:val="0"/>
                <w:i w:val="0"/>
                <w:sz w:val="20"/>
              </w:rPr>
              <w:t>112</w:t>
            </w:r>
          </w:p>
        </w:tc>
        <w:tc>
          <w:tcPr>
            <w:tcW w:type="dxa" w:w="2340"/>
          </w:tcPr>
          <w:p>
            <w:pPr>
              <w:spacing w:before="0" w:after="0" w:line="240" w:lineRule="auto"/>
              <w:jc w:val="left"/>
            </w:pPr>
            <w:r>
              <w:rPr>
                <w:rFonts w:ascii="Times New Roman" w:hAnsi="Times New Roman" w:cs="Times New Roman" w:eastAsia="Times New Roman"/>
                <w:b w:val="0"/>
                <w:i w:val="0"/>
                <w:sz w:val="20"/>
              </w:rPr>
              <w:t>60,9%</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Estudia y trabaja</w:t>
            </w:r>
          </w:p>
        </w:tc>
        <w:tc>
          <w:tcPr>
            <w:tcW w:type="dxa" w:w="2340"/>
          </w:tcPr>
          <w:p>
            <w:pPr>
              <w:spacing w:before="0" w:after="0" w:line="240" w:lineRule="auto"/>
              <w:jc w:val="left"/>
            </w:pPr>
            <w:r>
              <w:rPr>
                <w:rFonts w:ascii="Times New Roman" w:hAnsi="Times New Roman" w:cs="Times New Roman" w:eastAsia="Times New Roman"/>
                <w:b w:val="0"/>
                <w:i w:val="0"/>
                <w:sz w:val="20"/>
              </w:rPr>
              <w:t>72</w:t>
            </w:r>
          </w:p>
        </w:tc>
        <w:tc>
          <w:tcPr>
            <w:tcW w:type="dxa" w:w="2340"/>
          </w:tcPr>
          <w:p>
            <w:pPr>
              <w:spacing w:before="0" w:after="0" w:line="240" w:lineRule="auto"/>
              <w:jc w:val="left"/>
            </w:pPr>
            <w:r>
              <w:rPr>
                <w:rFonts w:ascii="Times New Roman" w:hAnsi="Times New Roman" w:cs="Times New Roman" w:eastAsia="Times New Roman"/>
                <w:b w:val="0"/>
                <w:i w:val="0"/>
                <w:sz w:val="20"/>
              </w:rPr>
              <w:t>39,1%</w:t>
            </w:r>
          </w:p>
        </w:tc>
      </w:tr>
    </w:tbl>
    <w:p>
      <w:pPr>
        <w:spacing w:before="80" w:after="240" w:line="240" w:lineRule="auto"/>
        <w:jc w:val="left"/>
      </w:pPr>
      <w:r>
        <w:rPr>
          <w:rFonts w:ascii="Times New Roman" w:hAnsi="Times New Roman" w:cs="Times New Roman" w:eastAsia="Times New Roman"/>
          <w:b/>
          <w:i w:val="0"/>
          <w:sz w:val="20"/>
        </w:rPr>
        <w:t>Fuente:</w:t>
      </w:r>
      <w:r>
        <w:rPr>
          <w:rFonts w:ascii="Times New Roman" w:hAnsi="Times New Roman" w:cs="Times New Roman" w:eastAsia="Times New Roman"/>
          <w:b w:val="0"/>
          <w:i w:val="0"/>
          <w:sz w:val="20"/>
        </w:rPr>
        <w:t xml:space="preserve"> Elaboración propia (2024) a partir de los datos recolectados.</w:t>
      </w:r>
    </w:p>
    <w:p>
      <w:pPr>
        <w:spacing w:before="0" w:after="160" w:line="360" w:lineRule="auto"/>
        <w:ind w:firstLine="720"/>
        <w:jc w:val="both"/>
      </w:pPr>
      <w:r>
        <w:rPr>
          <w:rFonts w:ascii="Times New Roman" w:hAnsi="Times New Roman" w:cs="Times New Roman" w:eastAsia="Times New Roman"/>
          <w:b w:val="0"/>
          <w:i w:val="0"/>
          <w:sz w:val="24"/>
        </w:rPr>
        <w:t>En la tabla 1 se observa que el 53,8% es de sexo masculino; el 96,2% tiene ≤ a 25 años, su estado civil del 96,2% es soltero; el 90,2% recién inicia sus estudios universitarios; para el 82,1% es su primera carrera profesional y el 60,9% solo se dedica a estudiar.</w:t>
      </w:r>
    </w:p>
    <w:p>
      <w:pPr>
        <w:keepNext/>
        <w:spacing w:before="0" w:after="0" w:line="360" w:lineRule="auto"/>
        <w:jc w:val="left"/>
      </w:pPr>
      <w:r>
        <w:rPr>
          <w:rFonts w:ascii="Times New Roman" w:hAnsi="Times New Roman" w:cs="Times New Roman" w:eastAsia="Times New Roman"/>
          <w:b/>
          <w:i w:val="0"/>
          <w:sz w:val="24"/>
        </w:rPr>
        <w:t>Tabla 2.</w:t>
      </w:r>
    </w:p>
    <w:p>
      <w:pPr>
        <w:keepNext/>
        <w:spacing w:before="0" w:after="120" w:line="360" w:lineRule="auto"/>
        <w:jc w:val="left"/>
      </w:pPr>
      <w:r>
        <w:rPr>
          <w:rFonts w:ascii="Times New Roman" w:hAnsi="Times New Roman" w:cs="Times New Roman" w:eastAsia="Times New Roman"/>
          <w:b w:val="0"/>
          <w:i/>
          <w:sz w:val="24"/>
        </w:rPr>
        <w:t>Análisis descriptivo y bivariado de las variables sociodemográficas y académicas, según el Rendimiento académico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1337"/>
        <w:gridCol w:w="1337"/>
        <w:gridCol w:w="1337"/>
        <w:gridCol w:w="1337"/>
        <w:gridCol w:w="1337"/>
        <w:gridCol w:w="1337"/>
        <w:gridCol w:w="1337"/>
      </w:tblGrid>
      <w:tr>
        <w:tc>
          <w:tcPr>
            <w:tcW w:type="dxa" w:w="1337"/>
          </w:tcPr>
          <w:p>
            <w:pPr>
              <w:spacing w:before="0" w:after="0" w:line="240" w:lineRule="auto"/>
              <w:jc w:val="left"/>
            </w:pPr>
            <w:r>
              <w:rPr>
                <w:rFonts w:ascii="Times New Roman" w:hAnsi="Times New Roman" w:cs="Times New Roman" w:eastAsia="Times New Roman"/>
                <w:b/>
                <w:i w:val="0"/>
                <w:sz w:val="20"/>
              </w:rPr>
              <w:t>Variables</w:t>
            </w: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Rendimiento académico</w:t>
            </w:r>
          </w:p>
        </w:tc>
        <w:tc>
          <w:tcPr>
            <w:tcW w:type="dxa" w:w="1337"/>
          </w:tcPr>
          <w:p>
            <w:pPr>
              <w:spacing w:before="0" w:after="0" w:line="240" w:lineRule="auto"/>
              <w:jc w:val="left"/>
            </w:pPr>
          </w:p>
        </w:tc>
        <w:tc>
          <w:tcPr>
            <w:tcW w:type="dxa" w:w="1337"/>
          </w:tcPr>
          <w:p>
            <w:pPr>
              <w:spacing w:before="0" w:after="0" w:line="240" w:lineRule="auto"/>
              <w:jc w:val="left"/>
            </w:pP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Valor p</w:t>
            </w:r>
          </w:p>
        </w:tc>
      </w:tr>
      <w:tr>
        <w:tc>
          <w:tcPr>
            <w:tcW w:type="dxa" w:w="1337"/>
          </w:tcPr>
          <w:p>
            <w:pPr>
              <w:spacing w:before="0" w:after="0" w:line="240" w:lineRule="auto"/>
              <w:jc w:val="left"/>
            </w:pP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Bajo</w:t>
            </w: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Medio</w:t>
            </w:r>
          </w:p>
        </w:tc>
        <w:tc>
          <w:tcPr>
            <w:tcW w:type="dxa" w:w="1337"/>
          </w:tcPr>
          <w:p>
            <w:pPr>
              <w:spacing w:before="0" w:after="0" w:line="240" w:lineRule="auto"/>
              <w:jc w:val="left"/>
            </w:pPr>
          </w:p>
        </w:tc>
        <w:tc>
          <w:tcPr>
            <w:tcW w:type="dxa" w:w="1337"/>
          </w:tcPr>
          <w:p>
            <w:pPr>
              <w:spacing w:before="0" w:after="0" w:line="240" w:lineRule="auto"/>
              <w:jc w:val="left"/>
            </w:pPr>
          </w:p>
        </w:tc>
      </w:tr>
      <w:tr>
        <w:tc>
          <w:tcPr>
            <w:tcW w:type="dxa" w:w="1337"/>
          </w:tcPr>
          <w:p>
            <w:pPr>
              <w:spacing w:before="0" w:after="0" w:line="240" w:lineRule="auto"/>
              <w:jc w:val="left"/>
            </w:pP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n</w:t>
            </w:r>
          </w:p>
        </w:tc>
        <w:tc>
          <w:tcPr>
            <w:tcW w:type="dxa" w:w="1337"/>
          </w:tcPr>
          <w:p>
            <w:pPr>
              <w:spacing w:before="0" w:after="0" w:line="240" w:lineRule="auto"/>
              <w:jc w:val="left"/>
            </w:pPr>
            <w:r>
              <w:rPr>
                <w:rFonts w:ascii="Times New Roman" w:hAnsi="Times New Roman" w:cs="Times New Roman" w:eastAsia="Times New Roman"/>
                <w:b/>
                <w:i w:val="0"/>
                <w:sz w:val="20"/>
              </w:rPr>
              <w:t>%</w:t>
            </w:r>
          </w:p>
        </w:tc>
        <w:tc>
          <w:tcPr>
            <w:tcW w:type="dxa" w:w="1337"/>
          </w:tcPr>
          <w:p>
            <w:pPr>
              <w:spacing w:before="0" w:after="0" w:line="240" w:lineRule="auto"/>
              <w:jc w:val="left"/>
            </w:pPr>
            <w:r>
              <w:rPr>
                <w:rFonts w:ascii="Times New Roman" w:hAnsi="Times New Roman" w:cs="Times New Roman" w:eastAsia="Times New Roman"/>
                <w:b/>
                <w:i w:val="0"/>
                <w:sz w:val="20"/>
              </w:rPr>
              <w:t>n</w:t>
            </w:r>
          </w:p>
        </w:tc>
        <w:tc>
          <w:tcPr>
            <w:tcW w:type="dxa" w:w="1337"/>
          </w:tcPr>
          <w:p>
            <w:pPr>
              <w:spacing w:before="0" w:after="0" w:line="240" w:lineRule="auto"/>
              <w:jc w:val="left"/>
            </w:pPr>
            <w:r>
              <w:rPr>
                <w:rFonts w:ascii="Times New Roman" w:hAnsi="Times New Roman" w:cs="Times New Roman" w:eastAsia="Times New Roman"/>
                <w:b/>
                <w:i w:val="0"/>
                <w:sz w:val="20"/>
              </w:rPr>
              <w:t>%</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Edad</w:t>
            </w:r>
          </w:p>
        </w:tc>
        <w:tc>
          <w:tcPr>
            <w:tcW w:type="dxa" w:w="1337"/>
          </w:tcPr>
          <w:p>
            <w:pPr>
              <w:spacing w:before="0" w:after="0" w:line="240" w:lineRule="auto"/>
              <w:jc w:val="left"/>
            </w:pPr>
            <w:r>
              <w:rPr>
                <w:rFonts w:ascii="Times New Roman" w:hAnsi="Times New Roman" w:cs="Times New Roman" w:eastAsia="Times New Roman"/>
                <w:b w:val="0"/>
                <w:i w:val="0"/>
                <w:sz w:val="20"/>
              </w:rPr>
              <w:t>≤ 25 años</w:t>
            </w:r>
          </w:p>
        </w:tc>
        <w:tc>
          <w:tcPr>
            <w:tcW w:type="dxa" w:w="1337"/>
          </w:tcPr>
          <w:p>
            <w:pPr>
              <w:spacing w:before="0" w:after="0" w:line="240" w:lineRule="auto"/>
              <w:jc w:val="left"/>
            </w:pPr>
            <w:r>
              <w:rPr>
                <w:rFonts w:ascii="Times New Roman" w:hAnsi="Times New Roman" w:cs="Times New Roman" w:eastAsia="Times New Roman"/>
                <w:b w:val="0"/>
                <w:i w:val="0"/>
                <w:sz w:val="20"/>
              </w:rPr>
              <w:t>27</w:t>
            </w:r>
          </w:p>
        </w:tc>
        <w:tc>
          <w:tcPr>
            <w:tcW w:type="dxa" w:w="1337"/>
          </w:tcPr>
          <w:p>
            <w:pPr>
              <w:spacing w:before="0" w:after="0" w:line="240" w:lineRule="auto"/>
              <w:jc w:val="left"/>
            </w:pPr>
            <w:r>
              <w:rPr>
                <w:rFonts w:ascii="Times New Roman" w:hAnsi="Times New Roman" w:cs="Times New Roman" w:eastAsia="Times New Roman"/>
                <w:b w:val="0"/>
                <w:i w:val="0"/>
                <w:sz w:val="20"/>
              </w:rPr>
              <w:t>15,3</w:t>
            </w:r>
          </w:p>
        </w:tc>
        <w:tc>
          <w:tcPr>
            <w:tcW w:type="dxa" w:w="1337"/>
          </w:tcPr>
          <w:p>
            <w:pPr>
              <w:spacing w:before="0" w:after="0" w:line="240" w:lineRule="auto"/>
              <w:jc w:val="left"/>
            </w:pPr>
            <w:r>
              <w:rPr>
                <w:rFonts w:ascii="Times New Roman" w:hAnsi="Times New Roman" w:cs="Times New Roman" w:eastAsia="Times New Roman"/>
                <w:b w:val="0"/>
                <w:i w:val="0"/>
                <w:sz w:val="20"/>
              </w:rPr>
              <w:t>150</w:t>
            </w:r>
          </w:p>
        </w:tc>
        <w:tc>
          <w:tcPr>
            <w:tcW w:type="dxa" w:w="1337"/>
          </w:tcPr>
          <w:p>
            <w:pPr>
              <w:spacing w:before="0" w:after="0" w:line="240" w:lineRule="auto"/>
              <w:jc w:val="left"/>
            </w:pPr>
            <w:r>
              <w:rPr>
                <w:rFonts w:ascii="Times New Roman" w:hAnsi="Times New Roman" w:cs="Times New Roman" w:eastAsia="Times New Roman"/>
                <w:b w:val="0"/>
                <w:i w:val="0"/>
                <w:sz w:val="20"/>
              </w:rPr>
              <w:t>84,7</w:t>
            </w:r>
          </w:p>
        </w:tc>
        <w:tc>
          <w:tcPr>
            <w:tcW w:type="dxa" w:w="1337"/>
          </w:tcPr>
          <w:p>
            <w:pPr>
              <w:spacing w:before="0" w:after="0" w:line="240" w:lineRule="auto"/>
              <w:jc w:val="left"/>
            </w:pPr>
            <w:r>
              <w:rPr>
                <w:rFonts w:ascii="Times New Roman" w:hAnsi="Times New Roman" w:cs="Times New Roman" w:eastAsia="Times New Roman"/>
                <w:b w:val="0"/>
                <w:i w:val="0"/>
                <w:sz w:val="20"/>
              </w:rPr>
              <w:t>,343</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&gt; 25 años</w:t>
            </w:r>
          </w:p>
        </w:tc>
        <w:tc>
          <w:tcPr>
            <w:tcW w:type="dxa" w:w="1337"/>
          </w:tcPr>
          <w:p>
            <w:pPr>
              <w:spacing w:before="0" w:after="0" w:line="240" w:lineRule="auto"/>
              <w:jc w:val="left"/>
            </w:pPr>
            <w:r>
              <w:rPr>
                <w:rFonts w:ascii="Times New Roman" w:hAnsi="Times New Roman" w:cs="Times New Roman" w:eastAsia="Times New Roman"/>
                <w:b w:val="0"/>
                <w:i w:val="0"/>
                <w:sz w:val="20"/>
              </w:rPr>
              <w:t>2</w:t>
            </w:r>
          </w:p>
        </w:tc>
        <w:tc>
          <w:tcPr>
            <w:tcW w:type="dxa" w:w="1337"/>
          </w:tcPr>
          <w:p>
            <w:pPr>
              <w:spacing w:before="0" w:after="0" w:line="240" w:lineRule="auto"/>
              <w:jc w:val="left"/>
            </w:pPr>
            <w:r>
              <w:rPr>
                <w:rFonts w:ascii="Times New Roman" w:hAnsi="Times New Roman" w:cs="Times New Roman" w:eastAsia="Times New Roman"/>
                <w:b w:val="0"/>
                <w:i w:val="0"/>
                <w:sz w:val="20"/>
              </w:rPr>
              <w:t>28,6</w:t>
            </w:r>
          </w:p>
        </w:tc>
        <w:tc>
          <w:tcPr>
            <w:tcW w:type="dxa" w:w="1337"/>
          </w:tcPr>
          <w:p>
            <w:pPr>
              <w:spacing w:before="0" w:after="0" w:line="240" w:lineRule="auto"/>
              <w:jc w:val="left"/>
            </w:pPr>
            <w:r>
              <w:rPr>
                <w:rFonts w:ascii="Times New Roman" w:hAnsi="Times New Roman" w:cs="Times New Roman" w:eastAsia="Times New Roman"/>
                <w:b w:val="0"/>
                <w:i w:val="0"/>
                <w:sz w:val="20"/>
              </w:rPr>
              <w:t>5</w:t>
            </w:r>
          </w:p>
        </w:tc>
        <w:tc>
          <w:tcPr>
            <w:tcW w:type="dxa" w:w="1337"/>
          </w:tcPr>
          <w:p>
            <w:pPr>
              <w:spacing w:before="0" w:after="0" w:line="240" w:lineRule="auto"/>
              <w:jc w:val="left"/>
            </w:pPr>
            <w:r>
              <w:rPr>
                <w:rFonts w:ascii="Times New Roman" w:hAnsi="Times New Roman" w:cs="Times New Roman" w:eastAsia="Times New Roman"/>
                <w:b w:val="0"/>
                <w:i w:val="0"/>
                <w:sz w:val="20"/>
              </w:rPr>
              <w:t>71,4</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Sexo</w:t>
            </w:r>
          </w:p>
        </w:tc>
        <w:tc>
          <w:tcPr>
            <w:tcW w:type="dxa" w:w="1337"/>
          </w:tcPr>
          <w:p>
            <w:pPr>
              <w:spacing w:before="0" w:after="0" w:line="240" w:lineRule="auto"/>
              <w:jc w:val="left"/>
            </w:pPr>
            <w:r>
              <w:rPr>
                <w:rFonts w:ascii="Times New Roman" w:hAnsi="Times New Roman" w:cs="Times New Roman" w:eastAsia="Times New Roman"/>
                <w:b w:val="0"/>
                <w:i w:val="0"/>
                <w:sz w:val="20"/>
              </w:rPr>
              <w:t>Femenino</w:t>
            </w:r>
          </w:p>
        </w:tc>
        <w:tc>
          <w:tcPr>
            <w:tcW w:type="dxa" w:w="1337"/>
          </w:tcPr>
          <w:p>
            <w:pPr>
              <w:spacing w:before="0" w:after="0" w:line="240" w:lineRule="auto"/>
              <w:jc w:val="left"/>
            </w:pPr>
            <w:r>
              <w:rPr>
                <w:rFonts w:ascii="Times New Roman" w:hAnsi="Times New Roman" w:cs="Times New Roman" w:eastAsia="Times New Roman"/>
                <w:b w:val="0"/>
                <w:i w:val="0"/>
                <w:sz w:val="20"/>
              </w:rPr>
              <w:t>15</w:t>
            </w:r>
          </w:p>
        </w:tc>
        <w:tc>
          <w:tcPr>
            <w:tcW w:type="dxa" w:w="1337"/>
          </w:tcPr>
          <w:p>
            <w:pPr>
              <w:spacing w:before="0" w:after="0" w:line="240" w:lineRule="auto"/>
              <w:jc w:val="left"/>
            </w:pPr>
            <w:r>
              <w:rPr>
                <w:rFonts w:ascii="Times New Roman" w:hAnsi="Times New Roman" w:cs="Times New Roman" w:eastAsia="Times New Roman"/>
                <w:b w:val="0"/>
                <w:i w:val="0"/>
                <w:sz w:val="20"/>
              </w:rPr>
              <w:t>17,6</w:t>
            </w:r>
          </w:p>
        </w:tc>
        <w:tc>
          <w:tcPr>
            <w:tcW w:type="dxa" w:w="1337"/>
          </w:tcPr>
          <w:p>
            <w:pPr>
              <w:spacing w:before="0" w:after="0" w:line="240" w:lineRule="auto"/>
              <w:jc w:val="left"/>
            </w:pPr>
            <w:r>
              <w:rPr>
                <w:rFonts w:ascii="Times New Roman" w:hAnsi="Times New Roman" w:cs="Times New Roman" w:eastAsia="Times New Roman"/>
                <w:b w:val="0"/>
                <w:i w:val="0"/>
                <w:sz w:val="20"/>
              </w:rPr>
              <w:t>70</w:t>
            </w:r>
          </w:p>
        </w:tc>
        <w:tc>
          <w:tcPr>
            <w:tcW w:type="dxa" w:w="1337"/>
          </w:tcPr>
          <w:p>
            <w:pPr>
              <w:spacing w:before="0" w:after="0" w:line="240" w:lineRule="auto"/>
              <w:jc w:val="left"/>
            </w:pPr>
            <w:r>
              <w:rPr>
                <w:rFonts w:ascii="Times New Roman" w:hAnsi="Times New Roman" w:cs="Times New Roman" w:eastAsia="Times New Roman"/>
                <w:b w:val="0"/>
                <w:i w:val="0"/>
                <w:sz w:val="20"/>
              </w:rPr>
              <w:t>82,4</w:t>
            </w:r>
          </w:p>
        </w:tc>
        <w:tc>
          <w:tcPr>
            <w:tcW w:type="dxa" w:w="1337"/>
          </w:tcPr>
          <w:p>
            <w:pPr>
              <w:spacing w:before="0" w:after="0" w:line="240" w:lineRule="auto"/>
              <w:jc w:val="left"/>
            </w:pPr>
            <w:r>
              <w:rPr>
                <w:rFonts w:ascii="Times New Roman" w:hAnsi="Times New Roman" w:cs="Times New Roman" w:eastAsia="Times New Roman"/>
                <w:b w:val="0"/>
                <w:i w:val="0"/>
                <w:sz w:val="20"/>
              </w:rPr>
              <w:t>,515</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Masculino</w:t>
            </w:r>
          </w:p>
        </w:tc>
        <w:tc>
          <w:tcPr>
            <w:tcW w:type="dxa" w:w="1337"/>
          </w:tcPr>
          <w:p>
            <w:pPr>
              <w:spacing w:before="0" w:after="0" w:line="240" w:lineRule="auto"/>
              <w:jc w:val="left"/>
            </w:pPr>
            <w:r>
              <w:rPr>
                <w:rFonts w:ascii="Times New Roman" w:hAnsi="Times New Roman" w:cs="Times New Roman" w:eastAsia="Times New Roman"/>
                <w:b w:val="0"/>
                <w:i w:val="0"/>
                <w:sz w:val="20"/>
              </w:rPr>
              <w:t>14</w:t>
            </w:r>
          </w:p>
        </w:tc>
        <w:tc>
          <w:tcPr>
            <w:tcW w:type="dxa" w:w="1337"/>
          </w:tcPr>
          <w:p>
            <w:pPr>
              <w:spacing w:before="0" w:after="0" w:line="240" w:lineRule="auto"/>
              <w:jc w:val="left"/>
            </w:pPr>
            <w:r>
              <w:rPr>
                <w:rFonts w:ascii="Times New Roman" w:hAnsi="Times New Roman" w:cs="Times New Roman" w:eastAsia="Times New Roman"/>
                <w:b w:val="0"/>
                <w:i w:val="0"/>
                <w:sz w:val="20"/>
              </w:rPr>
              <w:t>14,1</w:t>
            </w:r>
          </w:p>
        </w:tc>
        <w:tc>
          <w:tcPr>
            <w:tcW w:type="dxa" w:w="1337"/>
          </w:tcPr>
          <w:p>
            <w:pPr>
              <w:spacing w:before="0" w:after="0" w:line="240" w:lineRule="auto"/>
              <w:jc w:val="left"/>
            </w:pPr>
            <w:r>
              <w:rPr>
                <w:rFonts w:ascii="Times New Roman" w:hAnsi="Times New Roman" w:cs="Times New Roman" w:eastAsia="Times New Roman"/>
                <w:b w:val="0"/>
                <w:i w:val="0"/>
                <w:sz w:val="20"/>
              </w:rPr>
              <w:t>85</w:t>
            </w:r>
          </w:p>
        </w:tc>
        <w:tc>
          <w:tcPr>
            <w:tcW w:type="dxa" w:w="1337"/>
          </w:tcPr>
          <w:p>
            <w:pPr>
              <w:spacing w:before="0" w:after="0" w:line="240" w:lineRule="auto"/>
              <w:jc w:val="left"/>
            </w:pPr>
            <w:r>
              <w:rPr>
                <w:rFonts w:ascii="Times New Roman" w:hAnsi="Times New Roman" w:cs="Times New Roman" w:eastAsia="Times New Roman"/>
                <w:b w:val="0"/>
                <w:i w:val="0"/>
                <w:sz w:val="20"/>
              </w:rPr>
              <w:t>85,9</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Estado civil</w:t>
            </w:r>
          </w:p>
        </w:tc>
        <w:tc>
          <w:tcPr>
            <w:tcW w:type="dxa" w:w="1337"/>
          </w:tcPr>
          <w:p>
            <w:pPr>
              <w:spacing w:before="0" w:after="0" w:line="240" w:lineRule="auto"/>
              <w:jc w:val="left"/>
            </w:pPr>
            <w:r>
              <w:rPr>
                <w:rFonts w:ascii="Times New Roman" w:hAnsi="Times New Roman" w:cs="Times New Roman" w:eastAsia="Times New Roman"/>
                <w:b w:val="0"/>
                <w:i w:val="0"/>
                <w:sz w:val="20"/>
              </w:rPr>
              <w:t>Soltero</w:t>
            </w:r>
          </w:p>
        </w:tc>
        <w:tc>
          <w:tcPr>
            <w:tcW w:type="dxa" w:w="1337"/>
          </w:tcPr>
          <w:p>
            <w:pPr>
              <w:spacing w:before="0" w:after="0" w:line="240" w:lineRule="auto"/>
              <w:jc w:val="left"/>
            </w:pPr>
            <w:r>
              <w:rPr>
                <w:rFonts w:ascii="Times New Roman" w:hAnsi="Times New Roman" w:cs="Times New Roman" w:eastAsia="Times New Roman"/>
                <w:b w:val="0"/>
                <w:i w:val="0"/>
                <w:sz w:val="20"/>
              </w:rPr>
              <w:t>27</w:t>
            </w:r>
          </w:p>
        </w:tc>
        <w:tc>
          <w:tcPr>
            <w:tcW w:type="dxa" w:w="1337"/>
          </w:tcPr>
          <w:p>
            <w:pPr>
              <w:spacing w:before="0" w:after="0" w:line="240" w:lineRule="auto"/>
              <w:jc w:val="left"/>
            </w:pPr>
            <w:r>
              <w:rPr>
                <w:rFonts w:ascii="Times New Roman" w:hAnsi="Times New Roman" w:cs="Times New Roman" w:eastAsia="Times New Roman"/>
                <w:b w:val="0"/>
                <w:i w:val="0"/>
                <w:sz w:val="20"/>
              </w:rPr>
              <w:t>15,3</w:t>
            </w:r>
          </w:p>
        </w:tc>
        <w:tc>
          <w:tcPr>
            <w:tcW w:type="dxa" w:w="1337"/>
          </w:tcPr>
          <w:p>
            <w:pPr>
              <w:spacing w:before="0" w:after="0" w:line="240" w:lineRule="auto"/>
              <w:jc w:val="left"/>
            </w:pPr>
            <w:r>
              <w:rPr>
                <w:rFonts w:ascii="Times New Roman" w:hAnsi="Times New Roman" w:cs="Times New Roman" w:eastAsia="Times New Roman"/>
                <w:b w:val="0"/>
                <w:i w:val="0"/>
                <w:sz w:val="20"/>
              </w:rPr>
              <w:t>150</w:t>
            </w:r>
          </w:p>
        </w:tc>
        <w:tc>
          <w:tcPr>
            <w:tcW w:type="dxa" w:w="1337"/>
          </w:tcPr>
          <w:p>
            <w:pPr>
              <w:spacing w:before="0" w:after="0" w:line="240" w:lineRule="auto"/>
              <w:jc w:val="left"/>
            </w:pPr>
            <w:r>
              <w:rPr>
                <w:rFonts w:ascii="Times New Roman" w:hAnsi="Times New Roman" w:cs="Times New Roman" w:eastAsia="Times New Roman"/>
                <w:b w:val="0"/>
                <w:i w:val="0"/>
                <w:sz w:val="20"/>
              </w:rPr>
              <w:t>84,7</w:t>
            </w:r>
          </w:p>
        </w:tc>
        <w:tc>
          <w:tcPr>
            <w:tcW w:type="dxa" w:w="1337"/>
          </w:tcPr>
          <w:p>
            <w:pPr>
              <w:spacing w:before="0" w:after="0" w:line="240" w:lineRule="auto"/>
              <w:jc w:val="left"/>
            </w:pPr>
            <w:r>
              <w:rPr>
                <w:rFonts w:ascii="Times New Roman" w:hAnsi="Times New Roman" w:cs="Times New Roman" w:eastAsia="Times New Roman"/>
                <w:b w:val="0"/>
                <w:i w:val="0"/>
                <w:sz w:val="20"/>
              </w:rPr>
              <w:t>,656</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Casado</w:t>
            </w:r>
          </w:p>
        </w:tc>
        <w:tc>
          <w:tcPr>
            <w:tcW w:type="dxa" w:w="1337"/>
          </w:tcPr>
          <w:p>
            <w:pPr>
              <w:spacing w:before="0" w:after="0" w:line="240" w:lineRule="auto"/>
              <w:jc w:val="left"/>
            </w:pPr>
            <w:r>
              <w:rPr>
                <w:rFonts w:ascii="Times New Roman" w:hAnsi="Times New Roman" w:cs="Times New Roman" w:eastAsia="Times New Roman"/>
                <w:b w:val="0"/>
                <w:i w:val="0"/>
                <w:sz w:val="20"/>
              </w:rPr>
              <w:t>1</w:t>
            </w:r>
          </w:p>
        </w:tc>
        <w:tc>
          <w:tcPr>
            <w:tcW w:type="dxa" w:w="1337"/>
          </w:tcPr>
          <w:p>
            <w:pPr>
              <w:spacing w:before="0" w:after="0" w:line="240" w:lineRule="auto"/>
              <w:jc w:val="left"/>
            </w:pPr>
            <w:r>
              <w:rPr>
                <w:rFonts w:ascii="Times New Roman" w:hAnsi="Times New Roman" w:cs="Times New Roman" w:eastAsia="Times New Roman"/>
                <w:b w:val="0"/>
                <w:i w:val="0"/>
                <w:sz w:val="20"/>
              </w:rPr>
              <w:t>33,3</w:t>
            </w:r>
          </w:p>
        </w:tc>
        <w:tc>
          <w:tcPr>
            <w:tcW w:type="dxa" w:w="1337"/>
          </w:tcPr>
          <w:p>
            <w:pPr>
              <w:spacing w:before="0" w:after="0" w:line="240" w:lineRule="auto"/>
              <w:jc w:val="left"/>
            </w:pPr>
            <w:r>
              <w:rPr>
                <w:rFonts w:ascii="Times New Roman" w:hAnsi="Times New Roman" w:cs="Times New Roman" w:eastAsia="Times New Roman"/>
                <w:b w:val="0"/>
                <w:i w:val="0"/>
                <w:sz w:val="20"/>
              </w:rPr>
              <w:t>2</w:t>
            </w:r>
          </w:p>
        </w:tc>
        <w:tc>
          <w:tcPr>
            <w:tcW w:type="dxa" w:w="1337"/>
          </w:tcPr>
          <w:p>
            <w:pPr>
              <w:spacing w:before="0" w:after="0" w:line="240" w:lineRule="auto"/>
              <w:jc w:val="left"/>
            </w:pPr>
            <w:r>
              <w:rPr>
                <w:rFonts w:ascii="Times New Roman" w:hAnsi="Times New Roman" w:cs="Times New Roman" w:eastAsia="Times New Roman"/>
                <w:b w:val="0"/>
                <w:i w:val="0"/>
                <w:sz w:val="20"/>
              </w:rPr>
              <w:t>66,7</w:t>
            </w:r>
          </w:p>
        </w:tc>
        <w:tc>
          <w:tcPr>
            <w:tcW w:type="dxa" w:w="1337"/>
          </w:tcPr>
          <w:p>
            <w:pPr>
              <w:spacing w:before="0" w:after="0" w:line="240" w:lineRule="auto"/>
              <w:jc w:val="left"/>
            </w:pP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Conviviente</w:t>
            </w:r>
          </w:p>
        </w:tc>
        <w:tc>
          <w:tcPr>
            <w:tcW w:type="dxa" w:w="1337"/>
          </w:tcPr>
          <w:p>
            <w:pPr>
              <w:spacing w:before="0" w:after="0" w:line="240" w:lineRule="auto"/>
              <w:jc w:val="left"/>
            </w:pPr>
            <w:r>
              <w:rPr>
                <w:rFonts w:ascii="Times New Roman" w:hAnsi="Times New Roman" w:cs="Times New Roman" w:eastAsia="Times New Roman"/>
                <w:b w:val="0"/>
                <w:i w:val="0"/>
                <w:sz w:val="20"/>
              </w:rPr>
              <w:t>1</w:t>
            </w:r>
          </w:p>
        </w:tc>
        <w:tc>
          <w:tcPr>
            <w:tcW w:type="dxa" w:w="1337"/>
          </w:tcPr>
          <w:p>
            <w:pPr>
              <w:spacing w:before="0" w:after="0" w:line="240" w:lineRule="auto"/>
              <w:jc w:val="left"/>
            </w:pPr>
            <w:r>
              <w:rPr>
                <w:rFonts w:ascii="Times New Roman" w:hAnsi="Times New Roman" w:cs="Times New Roman" w:eastAsia="Times New Roman"/>
                <w:b w:val="0"/>
                <w:i w:val="0"/>
                <w:sz w:val="20"/>
              </w:rPr>
              <w:t>33,3</w:t>
            </w:r>
          </w:p>
        </w:tc>
        <w:tc>
          <w:tcPr>
            <w:tcW w:type="dxa" w:w="1337"/>
          </w:tcPr>
          <w:p>
            <w:pPr>
              <w:spacing w:before="0" w:after="0" w:line="240" w:lineRule="auto"/>
              <w:jc w:val="left"/>
            </w:pPr>
            <w:r>
              <w:rPr>
                <w:rFonts w:ascii="Times New Roman" w:hAnsi="Times New Roman" w:cs="Times New Roman" w:eastAsia="Times New Roman"/>
                <w:b w:val="0"/>
                <w:i w:val="0"/>
                <w:sz w:val="20"/>
              </w:rPr>
              <w:t>2</w:t>
            </w:r>
          </w:p>
        </w:tc>
        <w:tc>
          <w:tcPr>
            <w:tcW w:type="dxa" w:w="1337"/>
          </w:tcPr>
          <w:p>
            <w:pPr>
              <w:spacing w:before="0" w:after="0" w:line="240" w:lineRule="auto"/>
              <w:jc w:val="left"/>
            </w:pPr>
            <w:r>
              <w:rPr>
                <w:rFonts w:ascii="Times New Roman" w:hAnsi="Times New Roman" w:cs="Times New Roman" w:eastAsia="Times New Roman"/>
                <w:b w:val="0"/>
                <w:i w:val="0"/>
                <w:sz w:val="20"/>
              </w:rPr>
              <w:t>66,7</w:t>
            </w:r>
          </w:p>
        </w:tc>
        <w:tc>
          <w:tcPr>
            <w:tcW w:type="dxa" w:w="1337"/>
          </w:tcPr>
          <w:p>
            <w:pPr>
              <w:spacing w:before="0" w:after="0" w:line="240" w:lineRule="auto"/>
              <w:jc w:val="left"/>
            </w:pP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Viudo</w:t>
            </w:r>
          </w:p>
        </w:tc>
        <w:tc>
          <w:tcPr>
            <w:tcW w:type="dxa" w:w="1337"/>
          </w:tcPr>
          <w:p>
            <w:pPr>
              <w:spacing w:before="0" w:after="0" w:line="240" w:lineRule="auto"/>
              <w:jc w:val="left"/>
            </w:pPr>
            <w:r>
              <w:rPr>
                <w:rFonts w:ascii="Times New Roman" w:hAnsi="Times New Roman" w:cs="Times New Roman" w:eastAsia="Times New Roman"/>
                <w:b w:val="0"/>
                <w:i w:val="0"/>
                <w:sz w:val="20"/>
              </w:rPr>
              <w:t>0</w:t>
            </w:r>
          </w:p>
        </w:tc>
        <w:tc>
          <w:tcPr>
            <w:tcW w:type="dxa" w:w="1337"/>
          </w:tcPr>
          <w:p>
            <w:pPr>
              <w:spacing w:before="0" w:after="0" w:line="240" w:lineRule="auto"/>
              <w:jc w:val="left"/>
            </w:pPr>
            <w:r>
              <w:rPr>
                <w:rFonts w:ascii="Times New Roman" w:hAnsi="Times New Roman" w:cs="Times New Roman" w:eastAsia="Times New Roman"/>
                <w:b w:val="0"/>
                <w:i w:val="0"/>
                <w:sz w:val="20"/>
              </w:rPr>
              <w:t>0,0</w:t>
            </w:r>
          </w:p>
        </w:tc>
        <w:tc>
          <w:tcPr>
            <w:tcW w:type="dxa" w:w="1337"/>
          </w:tcPr>
          <w:p>
            <w:pPr>
              <w:spacing w:before="0" w:after="0" w:line="240" w:lineRule="auto"/>
              <w:jc w:val="left"/>
            </w:pPr>
            <w:r>
              <w:rPr>
                <w:rFonts w:ascii="Times New Roman" w:hAnsi="Times New Roman" w:cs="Times New Roman" w:eastAsia="Times New Roman"/>
                <w:b w:val="0"/>
                <w:i w:val="0"/>
                <w:sz w:val="20"/>
              </w:rPr>
              <w:t>1</w:t>
            </w:r>
          </w:p>
        </w:tc>
        <w:tc>
          <w:tcPr>
            <w:tcW w:type="dxa" w:w="1337"/>
          </w:tcPr>
          <w:p>
            <w:pPr>
              <w:spacing w:before="0" w:after="0" w:line="240" w:lineRule="auto"/>
              <w:jc w:val="left"/>
            </w:pPr>
            <w:r>
              <w:rPr>
                <w:rFonts w:ascii="Times New Roman" w:hAnsi="Times New Roman" w:cs="Times New Roman" w:eastAsia="Times New Roman"/>
                <w:b w:val="0"/>
                <w:i w:val="0"/>
                <w:sz w:val="20"/>
              </w:rPr>
              <w:t>100,0</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Segunda carrera profesional</w:t>
            </w:r>
          </w:p>
        </w:tc>
        <w:tc>
          <w:tcPr>
            <w:tcW w:type="dxa" w:w="1337"/>
          </w:tcPr>
          <w:p>
            <w:pPr>
              <w:spacing w:before="0" w:after="0" w:line="240" w:lineRule="auto"/>
              <w:jc w:val="left"/>
            </w:pPr>
            <w:r>
              <w:rPr>
                <w:rFonts w:ascii="Times New Roman" w:hAnsi="Times New Roman" w:cs="Times New Roman" w:eastAsia="Times New Roman"/>
                <w:b w:val="0"/>
                <w:i w:val="0"/>
                <w:sz w:val="20"/>
              </w:rPr>
              <w:t>Si</w:t>
            </w:r>
          </w:p>
        </w:tc>
        <w:tc>
          <w:tcPr>
            <w:tcW w:type="dxa" w:w="1337"/>
          </w:tcPr>
          <w:p>
            <w:pPr>
              <w:spacing w:before="0" w:after="0" w:line="240" w:lineRule="auto"/>
              <w:jc w:val="left"/>
            </w:pPr>
            <w:r>
              <w:rPr>
                <w:rFonts w:ascii="Times New Roman" w:hAnsi="Times New Roman" w:cs="Times New Roman" w:eastAsia="Times New Roman"/>
                <w:b w:val="0"/>
                <w:i w:val="0"/>
                <w:sz w:val="20"/>
              </w:rPr>
              <w:t>3</w:t>
            </w:r>
          </w:p>
        </w:tc>
        <w:tc>
          <w:tcPr>
            <w:tcW w:type="dxa" w:w="1337"/>
          </w:tcPr>
          <w:p>
            <w:pPr>
              <w:spacing w:before="0" w:after="0" w:line="240" w:lineRule="auto"/>
              <w:jc w:val="left"/>
            </w:pPr>
            <w:r>
              <w:rPr>
                <w:rFonts w:ascii="Times New Roman" w:hAnsi="Times New Roman" w:cs="Times New Roman" w:eastAsia="Times New Roman"/>
                <w:b w:val="0"/>
                <w:i w:val="0"/>
                <w:sz w:val="20"/>
              </w:rPr>
              <w:t>16,7</w:t>
            </w:r>
          </w:p>
        </w:tc>
        <w:tc>
          <w:tcPr>
            <w:tcW w:type="dxa" w:w="1337"/>
          </w:tcPr>
          <w:p>
            <w:pPr>
              <w:spacing w:before="0" w:after="0" w:line="240" w:lineRule="auto"/>
              <w:jc w:val="left"/>
            </w:pPr>
            <w:r>
              <w:rPr>
                <w:rFonts w:ascii="Times New Roman" w:hAnsi="Times New Roman" w:cs="Times New Roman" w:eastAsia="Times New Roman"/>
                <w:b w:val="0"/>
                <w:i w:val="0"/>
                <w:sz w:val="20"/>
              </w:rPr>
              <w:t>15</w:t>
            </w:r>
          </w:p>
        </w:tc>
        <w:tc>
          <w:tcPr>
            <w:tcW w:type="dxa" w:w="1337"/>
          </w:tcPr>
          <w:p>
            <w:pPr>
              <w:spacing w:before="0" w:after="0" w:line="240" w:lineRule="auto"/>
              <w:jc w:val="left"/>
            </w:pPr>
            <w:r>
              <w:rPr>
                <w:rFonts w:ascii="Times New Roman" w:hAnsi="Times New Roman" w:cs="Times New Roman" w:eastAsia="Times New Roman"/>
                <w:b w:val="0"/>
                <w:i w:val="0"/>
                <w:sz w:val="20"/>
              </w:rPr>
              <w:t>83,3</w:t>
            </w:r>
          </w:p>
        </w:tc>
        <w:tc>
          <w:tcPr>
            <w:tcW w:type="dxa" w:w="1337"/>
          </w:tcPr>
          <w:p>
            <w:pPr>
              <w:spacing w:before="0" w:after="0" w:line="240" w:lineRule="auto"/>
              <w:jc w:val="left"/>
            </w:pPr>
            <w:r>
              <w:rPr>
                <w:rFonts w:ascii="Times New Roman" w:hAnsi="Times New Roman" w:cs="Times New Roman" w:eastAsia="Times New Roman"/>
                <w:b w:val="0"/>
                <w:i w:val="0"/>
                <w:sz w:val="20"/>
              </w:rPr>
              <w:t>,912</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No</w:t>
            </w:r>
          </w:p>
        </w:tc>
        <w:tc>
          <w:tcPr>
            <w:tcW w:type="dxa" w:w="1337"/>
          </w:tcPr>
          <w:p>
            <w:pPr>
              <w:spacing w:before="0" w:after="0" w:line="240" w:lineRule="auto"/>
              <w:jc w:val="left"/>
            </w:pPr>
            <w:r>
              <w:rPr>
                <w:rFonts w:ascii="Times New Roman" w:hAnsi="Times New Roman" w:cs="Times New Roman" w:eastAsia="Times New Roman"/>
                <w:b w:val="0"/>
                <w:i w:val="0"/>
                <w:sz w:val="20"/>
              </w:rPr>
              <w:t>26</w:t>
            </w:r>
          </w:p>
        </w:tc>
        <w:tc>
          <w:tcPr>
            <w:tcW w:type="dxa" w:w="1337"/>
          </w:tcPr>
          <w:p>
            <w:pPr>
              <w:spacing w:before="0" w:after="0" w:line="240" w:lineRule="auto"/>
              <w:jc w:val="left"/>
            </w:pPr>
            <w:r>
              <w:rPr>
                <w:rFonts w:ascii="Times New Roman" w:hAnsi="Times New Roman" w:cs="Times New Roman" w:eastAsia="Times New Roman"/>
                <w:b w:val="0"/>
                <w:i w:val="0"/>
                <w:sz w:val="20"/>
              </w:rPr>
              <w:t>15,7</w:t>
            </w:r>
          </w:p>
        </w:tc>
        <w:tc>
          <w:tcPr>
            <w:tcW w:type="dxa" w:w="1337"/>
          </w:tcPr>
          <w:p>
            <w:pPr>
              <w:spacing w:before="0" w:after="0" w:line="240" w:lineRule="auto"/>
              <w:jc w:val="left"/>
            </w:pPr>
            <w:r>
              <w:rPr>
                <w:rFonts w:ascii="Times New Roman" w:hAnsi="Times New Roman" w:cs="Times New Roman" w:eastAsia="Times New Roman"/>
                <w:b w:val="0"/>
                <w:i w:val="0"/>
                <w:sz w:val="20"/>
              </w:rPr>
              <w:t>140</w:t>
            </w:r>
          </w:p>
        </w:tc>
        <w:tc>
          <w:tcPr>
            <w:tcW w:type="dxa" w:w="1337"/>
          </w:tcPr>
          <w:p>
            <w:pPr>
              <w:spacing w:before="0" w:after="0" w:line="240" w:lineRule="auto"/>
              <w:jc w:val="left"/>
            </w:pPr>
            <w:r>
              <w:rPr>
                <w:rFonts w:ascii="Times New Roman" w:hAnsi="Times New Roman" w:cs="Times New Roman" w:eastAsia="Times New Roman"/>
                <w:b w:val="0"/>
                <w:i w:val="0"/>
                <w:sz w:val="20"/>
              </w:rPr>
              <w:t>84,4</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Algún momento has dejado de estudiar</w:t>
            </w:r>
          </w:p>
        </w:tc>
        <w:tc>
          <w:tcPr>
            <w:tcW w:type="dxa" w:w="1337"/>
          </w:tcPr>
          <w:p>
            <w:pPr>
              <w:spacing w:before="0" w:after="0" w:line="240" w:lineRule="auto"/>
              <w:jc w:val="left"/>
            </w:pPr>
            <w:r>
              <w:rPr>
                <w:rFonts w:ascii="Times New Roman" w:hAnsi="Times New Roman" w:cs="Times New Roman" w:eastAsia="Times New Roman"/>
                <w:b w:val="0"/>
                <w:i w:val="0"/>
                <w:sz w:val="20"/>
              </w:rPr>
              <w:t>Si</w:t>
            </w:r>
          </w:p>
        </w:tc>
        <w:tc>
          <w:tcPr>
            <w:tcW w:type="dxa" w:w="1337"/>
          </w:tcPr>
          <w:p>
            <w:pPr>
              <w:spacing w:before="0" w:after="0" w:line="240" w:lineRule="auto"/>
              <w:jc w:val="left"/>
            </w:pPr>
            <w:r>
              <w:rPr>
                <w:rFonts w:ascii="Times New Roman" w:hAnsi="Times New Roman" w:cs="Times New Roman" w:eastAsia="Times New Roman"/>
                <w:b w:val="0"/>
                <w:i w:val="0"/>
                <w:sz w:val="20"/>
              </w:rPr>
              <w:t>2</w:t>
            </w:r>
          </w:p>
        </w:tc>
        <w:tc>
          <w:tcPr>
            <w:tcW w:type="dxa" w:w="1337"/>
          </w:tcPr>
          <w:p>
            <w:pPr>
              <w:spacing w:before="0" w:after="0" w:line="240" w:lineRule="auto"/>
              <w:jc w:val="left"/>
            </w:pPr>
            <w:r>
              <w:rPr>
                <w:rFonts w:ascii="Times New Roman" w:hAnsi="Times New Roman" w:cs="Times New Roman" w:eastAsia="Times New Roman"/>
                <w:b w:val="0"/>
                <w:i w:val="0"/>
                <w:sz w:val="20"/>
              </w:rPr>
              <w:t>6,1</w:t>
            </w:r>
          </w:p>
        </w:tc>
        <w:tc>
          <w:tcPr>
            <w:tcW w:type="dxa" w:w="1337"/>
          </w:tcPr>
          <w:p>
            <w:pPr>
              <w:spacing w:before="0" w:after="0" w:line="240" w:lineRule="auto"/>
              <w:jc w:val="left"/>
            </w:pPr>
            <w:r>
              <w:rPr>
                <w:rFonts w:ascii="Times New Roman" w:hAnsi="Times New Roman" w:cs="Times New Roman" w:eastAsia="Times New Roman"/>
                <w:b w:val="0"/>
                <w:i w:val="0"/>
                <w:sz w:val="20"/>
              </w:rPr>
              <w:t>31</w:t>
            </w:r>
          </w:p>
        </w:tc>
        <w:tc>
          <w:tcPr>
            <w:tcW w:type="dxa" w:w="1337"/>
          </w:tcPr>
          <w:p>
            <w:pPr>
              <w:spacing w:before="0" w:after="0" w:line="240" w:lineRule="auto"/>
              <w:jc w:val="left"/>
            </w:pPr>
            <w:r>
              <w:rPr>
                <w:rFonts w:ascii="Times New Roman" w:hAnsi="Times New Roman" w:cs="Times New Roman" w:eastAsia="Times New Roman"/>
                <w:b w:val="0"/>
                <w:i w:val="0"/>
                <w:sz w:val="20"/>
              </w:rPr>
              <w:t>93,9</w:t>
            </w:r>
          </w:p>
        </w:tc>
        <w:tc>
          <w:tcPr>
            <w:tcW w:type="dxa" w:w="1337"/>
          </w:tcPr>
          <w:p>
            <w:pPr>
              <w:spacing w:before="0" w:after="0" w:line="240" w:lineRule="auto"/>
              <w:jc w:val="left"/>
            </w:pPr>
            <w:r>
              <w:rPr>
                <w:rFonts w:ascii="Times New Roman" w:hAnsi="Times New Roman" w:cs="Times New Roman" w:eastAsia="Times New Roman"/>
                <w:b w:val="0"/>
                <w:i w:val="0"/>
                <w:sz w:val="20"/>
              </w:rPr>
              <w:t>,091</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No</w:t>
            </w:r>
          </w:p>
        </w:tc>
        <w:tc>
          <w:tcPr>
            <w:tcW w:type="dxa" w:w="1337"/>
          </w:tcPr>
          <w:p>
            <w:pPr>
              <w:spacing w:before="0" w:after="0" w:line="240" w:lineRule="auto"/>
              <w:jc w:val="left"/>
            </w:pPr>
            <w:r>
              <w:rPr>
                <w:rFonts w:ascii="Times New Roman" w:hAnsi="Times New Roman" w:cs="Times New Roman" w:eastAsia="Times New Roman"/>
                <w:b w:val="0"/>
                <w:i w:val="0"/>
                <w:sz w:val="20"/>
              </w:rPr>
              <w:t>27</w:t>
            </w:r>
          </w:p>
        </w:tc>
        <w:tc>
          <w:tcPr>
            <w:tcW w:type="dxa" w:w="1337"/>
          </w:tcPr>
          <w:p>
            <w:pPr>
              <w:spacing w:before="0" w:after="0" w:line="240" w:lineRule="auto"/>
              <w:jc w:val="left"/>
            </w:pPr>
            <w:r>
              <w:rPr>
                <w:rFonts w:ascii="Times New Roman" w:hAnsi="Times New Roman" w:cs="Times New Roman" w:eastAsia="Times New Roman"/>
                <w:b w:val="0"/>
                <w:i w:val="0"/>
                <w:sz w:val="20"/>
              </w:rPr>
              <w:t>17,9</w:t>
            </w:r>
          </w:p>
        </w:tc>
        <w:tc>
          <w:tcPr>
            <w:tcW w:type="dxa" w:w="1337"/>
          </w:tcPr>
          <w:p>
            <w:pPr>
              <w:spacing w:before="0" w:after="0" w:line="240" w:lineRule="auto"/>
              <w:jc w:val="left"/>
            </w:pPr>
            <w:r>
              <w:rPr>
                <w:rFonts w:ascii="Times New Roman" w:hAnsi="Times New Roman" w:cs="Times New Roman" w:eastAsia="Times New Roman"/>
                <w:b w:val="0"/>
                <w:i w:val="0"/>
                <w:sz w:val="20"/>
              </w:rPr>
              <w:t>124</w:t>
            </w:r>
          </w:p>
        </w:tc>
        <w:tc>
          <w:tcPr>
            <w:tcW w:type="dxa" w:w="1337"/>
          </w:tcPr>
          <w:p>
            <w:pPr>
              <w:spacing w:before="0" w:after="0" w:line="240" w:lineRule="auto"/>
              <w:jc w:val="left"/>
            </w:pPr>
            <w:r>
              <w:rPr>
                <w:rFonts w:ascii="Times New Roman" w:hAnsi="Times New Roman" w:cs="Times New Roman" w:eastAsia="Times New Roman"/>
                <w:b w:val="0"/>
                <w:i w:val="0"/>
                <w:sz w:val="20"/>
              </w:rPr>
              <w:t>82,1</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Condición laboral</w:t>
            </w:r>
          </w:p>
        </w:tc>
        <w:tc>
          <w:tcPr>
            <w:tcW w:type="dxa" w:w="1337"/>
          </w:tcPr>
          <w:p>
            <w:pPr>
              <w:spacing w:before="0" w:after="0" w:line="240" w:lineRule="auto"/>
              <w:jc w:val="left"/>
            </w:pPr>
            <w:r>
              <w:rPr>
                <w:rFonts w:ascii="Times New Roman" w:hAnsi="Times New Roman" w:cs="Times New Roman" w:eastAsia="Times New Roman"/>
                <w:b w:val="0"/>
                <w:i w:val="0"/>
                <w:sz w:val="20"/>
              </w:rPr>
              <w:t>Solo estudia</w:t>
            </w:r>
          </w:p>
        </w:tc>
        <w:tc>
          <w:tcPr>
            <w:tcW w:type="dxa" w:w="1337"/>
          </w:tcPr>
          <w:p>
            <w:pPr>
              <w:spacing w:before="0" w:after="0" w:line="240" w:lineRule="auto"/>
              <w:jc w:val="left"/>
            </w:pPr>
            <w:r>
              <w:rPr>
                <w:rFonts w:ascii="Times New Roman" w:hAnsi="Times New Roman" w:cs="Times New Roman" w:eastAsia="Times New Roman"/>
                <w:b w:val="0"/>
                <w:i w:val="0"/>
                <w:sz w:val="20"/>
              </w:rPr>
              <w:t>20</w:t>
            </w:r>
          </w:p>
        </w:tc>
        <w:tc>
          <w:tcPr>
            <w:tcW w:type="dxa" w:w="1337"/>
          </w:tcPr>
          <w:p>
            <w:pPr>
              <w:spacing w:before="0" w:after="0" w:line="240" w:lineRule="auto"/>
              <w:jc w:val="left"/>
            </w:pPr>
            <w:r>
              <w:rPr>
                <w:rFonts w:ascii="Times New Roman" w:hAnsi="Times New Roman" w:cs="Times New Roman" w:eastAsia="Times New Roman"/>
                <w:b w:val="0"/>
                <w:i w:val="0"/>
                <w:sz w:val="20"/>
              </w:rPr>
              <w:t>17,9</w:t>
            </w:r>
          </w:p>
        </w:tc>
        <w:tc>
          <w:tcPr>
            <w:tcW w:type="dxa" w:w="1337"/>
          </w:tcPr>
          <w:p>
            <w:pPr>
              <w:spacing w:before="0" w:after="0" w:line="240" w:lineRule="auto"/>
              <w:jc w:val="left"/>
            </w:pPr>
            <w:r>
              <w:rPr>
                <w:rFonts w:ascii="Times New Roman" w:hAnsi="Times New Roman" w:cs="Times New Roman" w:eastAsia="Times New Roman"/>
                <w:b w:val="0"/>
                <w:i w:val="0"/>
                <w:sz w:val="20"/>
              </w:rPr>
              <w:t>92</w:t>
            </w:r>
          </w:p>
        </w:tc>
        <w:tc>
          <w:tcPr>
            <w:tcW w:type="dxa" w:w="1337"/>
          </w:tcPr>
          <w:p>
            <w:pPr>
              <w:spacing w:before="0" w:after="0" w:line="240" w:lineRule="auto"/>
              <w:jc w:val="left"/>
            </w:pPr>
            <w:r>
              <w:rPr>
                <w:rFonts w:ascii="Times New Roman" w:hAnsi="Times New Roman" w:cs="Times New Roman" w:eastAsia="Times New Roman"/>
                <w:b w:val="0"/>
                <w:i w:val="0"/>
                <w:sz w:val="20"/>
              </w:rPr>
              <w:t>82,1</w:t>
            </w:r>
          </w:p>
        </w:tc>
        <w:tc>
          <w:tcPr>
            <w:tcW w:type="dxa" w:w="1337"/>
          </w:tcPr>
          <w:p>
            <w:pPr>
              <w:spacing w:before="0" w:after="0" w:line="240" w:lineRule="auto"/>
              <w:jc w:val="left"/>
            </w:pPr>
            <w:r>
              <w:rPr>
                <w:rFonts w:ascii="Times New Roman" w:hAnsi="Times New Roman" w:cs="Times New Roman" w:eastAsia="Times New Roman"/>
                <w:b w:val="0"/>
                <w:i w:val="0"/>
                <w:sz w:val="20"/>
              </w:rPr>
              <w:t>,330</w:t>
            </w: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Estudia y trabaja</w:t>
            </w:r>
          </w:p>
        </w:tc>
        <w:tc>
          <w:tcPr>
            <w:tcW w:type="dxa" w:w="1337"/>
          </w:tcPr>
          <w:p>
            <w:pPr>
              <w:spacing w:before="0" w:after="0" w:line="240" w:lineRule="auto"/>
              <w:jc w:val="left"/>
            </w:pPr>
            <w:r>
              <w:rPr>
                <w:rFonts w:ascii="Times New Roman" w:hAnsi="Times New Roman" w:cs="Times New Roman" w:eastAsia="Times New Roman"/>
                <w:b w:val="0"/>
                <w:i w:val="0"/>
                <w:sz w:val="20"/>
              </w:rPr>
              <w:t>9</w:t>
            </w:r>
          </w:p>
        </w:tc>
        <w:tc>
          <w:tcPr>
            <w:tcW w:type="dxa" w:w="1337"/>
          </w:tcPr>
          <w:p>
            <w:pPr>
              <w:spacing w:before="0" w:after="0" w:line="240" w:lineRule="auto"/>
              <w:jc w:val="left"/>
            </w:pPr>
            <w:r>
              <w:rPr>
                <w:rFonts w:ascii="Times New Roman" w:hAnsi="Times New Roman" w:cs="Times New Roman" w:eastAsia="Times New Roman"/>
                <w:b w:val="0"/>
                <w:i w:val="0"/>
                <w:sz w:val="20"/>
              </w:rPr>
              <w:t>12,5</w:t>
            </w:r>
          </w:p>
        </w:tc>
        <w:tc>
          <w:tcPr>
            <w:tcW w:type="dxa" w:w="1337"/>
          </w:tcPr>
          <w:p>
            <w:pPr>
              <w:spacing w:before="0" w:after="0" w:line="240" w:lineRule="auto"/>
              <w:jc w:val="left"/>
            </w:pPr>
            <w:r>
              <w:rPr>
                <w:rFonts w:ascii="Times New Roman" w:hAnsi="Times New Roman" w:cs="Times New Roman" w:eastAsia="Times New Roman"/>
                <w:b w:val="0"/>
                <w:i w:val="0"/>
                <w:sz w:val="20"/>
              </w:rPr>
              <w:t>63</w:t>
            </w:r>
          </w:p>
        </w:tc>
        <w:tc>
          <w:tcPr>
            <w:tcW w:type="dxa" w:w="1337"/>
          </w:tcPr>
          <w:p>
            <w:pPr>
              <w:spacing w:before="0" w:after="0" w:line="240" w:lineRule="auto"/>
              <w:jc w:val="left"/>
            </w:pPr>
            <w:r>
              <w:rPr>
                <w:rFonts w:ascii="Times New Roman" w:hAnsi="Times New Roman" w:cs="Times New Roman" w:eastAsia="Times New Roman"/>
                <w:b w:val="0"/>
                <w:i w:val="0"/>
                <w:sz w:val="20"/>
              </w:rPr>
              <w:t>87,5</w:t>
            </w:r>
          </w:p>
        </w:tc>
        <w:tc>
          <w:tcPr>
            <w:tcW w:type="dxa" w:w="1337"/>
          </w:tcPr>
          <w:p>
            <w:pPr>
              <w:spacing w:before="0" w:after="0" w:line="240" w:lineRule="auto"/>
              <w:jc w:val="left"/>
            </w:pPr>
          </w:p>
        </w:tc>
      </w:tr>
      <w:tr>
        <w:tc>
          <w:tcPr>
            <w:tcW w:type="dxa" w:w="1337"/>
          </w:tcPr>
          <w:p>
            <w:pPr>
              <w:spacing w:before="0" w:after="0" w:line="240" w:lineRule="auto"/>
              <w:jc w:val="left"/>
            </w:pPr>
            <w:r>
              <w:rPr>
                <w:rFonts w:ascii="Times New Roman" w:hAnsi="Times New Roman" w:cs="Times New Roman" w:eastAsia="Times New Roman"/>
                <w:b w:val="0"/>
                <w:i w:val="0"/>
                <w:sz w:val="20"/>
              </w:rPr>
              <w:t>Total, escala</w:t>
            </w: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val="0"/>
                <w:i w:val="0"/>
                <w:sz w:val="20"/>
              </w:rPr>
              <w:t>29</w:t>
            </w:r>
          </w:p>
        </w:tc>
        <w:tc>
          <w:tcPr>
            <w:tcW w:type="dxa" w:w="1337"/>
          </w:tcPr>
          <w:p>
            <w:pPr>
              <w:spacing w:before="0" w:after="0" w:line="240" w:lineRule="auto"/>
              <w:jc w:val="left"/>
            </w:pPr>
            <w:r>
              <w:rPr>
                <w:rFonts w:ascii="Times New Roman" w:hAnsi="Times New Roman" w:cs="Times New Roman" w:eastAsia="Times New Roman"/>
                <w:b w:val="0"/>
                <w:i w:val="0"/>
                <w:sz w:val="20"/>
              </w:rPr>
              <w:t>15,8</w:t>
            </w:r>
          </w:p>
        </w:tc>
        <w:tc>
          <w:tcPr>
            <w:tcW w:type="dxa" w:w="1337"/>
          </w:tcPr>
          <w:p>
            <w:pPr>
              <w:spacing w:before="0" w:after="0" w:line="240" w:lineRule="auto"/>
              <w:jc w:val="left"/>
            </w:pPr>
            <w:r>
              <w:rPr>
                <w:rFonts w:ascii="Times New Roman" w:hAnsi="Times New Roman" w:cs="Times New Roman" w:eastAsia="Times New Roman"/>
                <w:b w:val="0"/>
                <w:i w:val="0"/>
                <w:sz w:val="20"/>
              </w:rPr>
              <w:t>155</w:t>
            </w:r>
          </w:p>
        </w:tc>
        <w:tc>
          <w:tcPr>
            <w:tcW w:type="dxa" w:w="1337"/>
          </w:tcPr>
          <w:p>
            <w:pPr>
              <w:spacing w:before="0" w:after="0" w:line="240" w:lineRule="auto"/>
              <w:jc w:val="left"/>
            </w:pPr>
            <w:r>
              <w:rPr>
                <w:rFonts w:ascii="Times New Roman" w:hAnsi="Times New Roman" w:cs="Times New Roman" w:eastAsia="Times New Roman"/>
                <w:b w:val="0"/>
                <w:i w:val="0"/>
                <w:sz w:val="20"/>
              </w:rPr>
              <w:t>84,2</w:t>
            </w:r>
          </w:p>
        </w:tc>
        <w:tc>
          <w:tcPr>
            <w:tcW w:type="dxa" w:w="1337"/>
          </w:tcPr>
          <w:p>
            <w:pPr>
              <w:spacing w:before="0" w:after="0" w:line="240" w:lineRule="auto"/>
              <w:jc w:val="left"/>
            </w:pPr>
          </w:p>
        </w:tc>
      </w:tr>
    </w:tbl>
    <w:p>
      <w:pPr>
        <w:spacing w:before="80" w:after="240" w:line="240" w:lineRule="auto"/>
        <w:jc w:val="left"/>
      </w:pPr>
      <w:r>
        <w:rPr>
          <w:rFonts w:ascii="Times New Roman" w:hAnsi="Times New Roman" w:cs="Times New Roman" w:eastAsia="Times New Roman"/>
          <w:b/>
          <w:i w:val="0"/>
          <w:sz w:val="20"/>
        </w:rPr>
        <w:t>Fuente:</w:t>
      </w:r>
      <w:r>
        <w:rPr>
          <w:rFonts w:ascii="Times New Roman" w:hAnsi="Times New Roman" w:cs="Times New Roman" w:eastAsia="Times New Roman"/>
          <w:b w:val="0"/>
          <w:i w:val="0"/>
          <w:sz w:val="20"/>
        </w:rPr>
        <w:t xml:space="preserve"> Elaboración propia (2024) a partir de los datos recolectados</w:t>
      </w:r>
    </w:p>
    <w:p>
      <w:pPr>
        <w:spacing w:before="0" w:after="160" w:line="360" w:lineRule="auto"/>
        <w:ind w:firstLine="720"/>
        <w:jc w:val="both"/>
      </w:pPr>
      <w:r>
        <w:rPr>
          <w:rFonts w:ascii="Times New Roman" w:hAnsi="Times New Roman" w:cs="Times New Roman" w:eastAsia="Times New Roman"/>
          <w:b w:val="0"/>
          <w:i w:val="0"/>
          <w:sz w:val="24"/>
        </w:rPr>
        <w:t>En la tabla 2 se observa que el 15,3% de los estudiantes de Ingeniería que tienen ≤ 25 años perciben un bajo de rendimiento académico mientras que el 84,7% resulta ser medio; el 17,6% de mujeres percibe un bajo rendimiento académico, mientras el 82,4% resulta ser medio, en el sexo masculino 14,1% (bajo), 85,9% (medio); el 15,3% de solteros se encuentran en el nivel bajo, el 84,7% (medio); de los estudiantes que resulta ser su primera carrera profesional el 84,4% se ubica en el nivel medio; el 82,1% de los que no han dejado de estudiar se encuentran en la categoría antes mencionada, así como el 82,1% de los que solo se dedican a estudiar. En general el 15,8% resulta tener una percepción baja de su rendimiento y el 84,2% es medio. No se han encontrado diferencias significativas con las variables sociodemográficas, académicas y laborales debido al p valor obtenido &gt; ,05.</w:t>
      </w:r>
    </w:p>
    <w:p>
      <w:pPr>
        <w:keepNext/>
        <w:spacing w:before="0" w:after="0" w:line="360" w:lineRule="auto"/>
        <w:jc w:val="left"/>
      </w:pPr>
      <w:r>
        <w:rPr>
          <w:rFonts w:ascii="Times New Roman" w:hAnsi="Times New Roman" w:cs="Times New Roman" w:eastAsia="Times New Roman"/>
          <w:b/>
          <w:i w:val="0"/>
          <w:sz w:val="24"/>
        </w:rPr>
        <w:t>Tabla 3.</w:t>
      </w:r>
    </w:p>
    <w:p>
      <w:pPr>
        <w:keepNext/>
        <w:spacing w:before="0" w:after="120" w:line="360" w:lineRule="auto"/>
        <w:jc w:val="left"/>
      </w:pPr>
      <w:r>
        <w:rPr>
          <w:rFonts w:ascii="Times New Roman" w:hAnsi="Times New Roman" w:cs="Times New Roman" w:eastAsia="Times New Roman"/>
          <w:b w:val="0"/>
          <w:i/>
          <w:sz w:val="24"/>
        </w:rPr>
        <w:t>Análisis descriptivo y bivariado de las dimensiones del Rendimiento académico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1337"/>
        <w:gridCol w:w="1337"/>
        <w:gridCol w:w="1337"/>
        <w:gridCol w:w="1337"/>
        <w:gridCol w:w="1337"/>
        <w:gridCol w:w="1337"/>
        <w:gridCol w:w="1337"/>
      </w:tblGrid>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Bajo</w:t>
            </w: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Medio</w:t>
            </w:r>
          </w:p>
        </w:tc>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Alto</w:t>
            </w:r>
          </w:p>
        </w:tc>
        <w:tc>
          <w:tcPr>
            <w:tcW w:type="dxa" w:w="1337"/>
          </w:tcPr>
          <w:p>
            <w:pPr>
              <w:spacing w:before="0" w:after="0" w:line="240" w:lineRule="auto"/>
              <w:jc w:val="left"/>
            </w:pPr>
          </w:p>
        </w:tc>
      </w:tr>
      <w:tr>
        <w:tc>
          <w:tcPr>
            <w:tcW w:type="dxa" w:w="1337"/>
          </w:tcPr>
          <w:p>
            <w:pPr>
              <w:spacing w:before="0" w:after="0" w:line="240" w:lineRule="auto"/>
              <w:jc w:val="left"/>
            </w:pPr>
          </w:p>
        </w:tc>
        <w:tc>
          <w:tcPr>
            <w:tcW w:type="dxa" w:w="1337"/>
          </w:tcPr>
          <w:p>
            <w:pPr>
              <w:spacing w:before="0" w:after="0" w:line="240" w:lineRule="auto"/>
              <w:jc w:val="left"/>
            </w:pPr>
            <w:r>
              <w:rPr>
                <w:rFonts w:ascii="Times New Roman" w:hAnsi="Times New Roman" w:cs="Times New Roman" w:eastAsia="Times New Roman"/>
                <w:b/>
                <w:i w:val="0"/>
                <w:sz w:val="20"/>
              </w:rPr>
              <w:t>n</w:t>
            </w:r>
          </w:p>
        </w:tc>
        <w:tc>
          <w:tcPr>
            <w:tcW w:type="dxa" w:w="1337"/>
          </w:tcPr>
          <w:p>
            <w:pPr>
              <w:spacing w:before="0" w:after="0" w:line="240" w:lineRule="auto"/>
              <w:jc w:val="left"/>
            </w:pPr>
            <w:r>
              <w:rPr>
                <w:rFonts w:ascii="Times New Roman" w:hAnsi="Times New Roman" w:cs="Times New Roman" w:eastAsia="Times New Roman"/>
                <w:b/>
                <w:i w:val="0"/>
                <w:sz w:val="20"/>
              </w:rPr>
              <w:t>%</w:t>
            </w:r>
          </w:p>
        </w:tc>
        <w:tc>
          <w:tcPr>
            <w:tcW w:type="dxa" w:w="1337"/>
          </w:tcPr>
          <w:p>
            <w:pPr>
              <w:spacing w:before="0" w:after="0" w:line="240" w:lineRule="auto"/>
              <w:jc w:val="left"/>
            </w:pPr>
            <w:r>
              <w:rPr>
                <w:rFonts w:ascii="Times New Roman" w:hAnsi="Times New Roman" w:cs="Times New Roman" w:eastAsia="Times New Roman"/>
                <w:b/>
                <w:i w:val="0"/>
                <w:sz w:val="20"/>
              </w:rPr>
              <w:t>n</w:t>
            </w:r>
          </w:p>
        </w:tc>
        <w:tc>
          <w:tcPr>
            <w:tcW w:type="dxa" w:w="1337"/>
          </w:tcPr>
          <w:p>
            <w:pPr>
              <w:spacing w:before="0" w:after="0" w:line="240" w:lineRule="auto"/>
              <w:jc w:val="left"/>
            </w:pPr>
            <w:r>
              <w:rPr>
                <w:rFonts w:ascii="Times New Roman" w:hAnsi="Times New Roman" w:cs="Times New Roman" w:eastAsia="Times New Roman"/>
                <w:b/>
                <w:i w:val="0"/>
                <w:sz w:val="20"/>
              </w:rPr>
              <w:t>%</w:t>
            </w:r>
          </w:p>
        </w:tc>
        <w:tc>
          <w:tcPr>
            <w:tcW w:type="dxa" w:w="1337"/>
          </w:tcPr>
          <w:p>
            <w:pPr>
              <w:spacing w:before="0" w:after="0" w:line="240" w:lineRule="auto"/>
              <w:jc w:val="left"/>
            </w:pPr>
            <w:r>
              <w:rPr>
                <w:rFonts w:ascii="Times New Roman" w:hAnsi="Times New Roman" w:cs="Times New Roman" w:eastAsia="Times New Roman"/>
                <w:b/>
                <w:i w:val="0"/>
                <w:sz w:val="20"/>
              </w:rPr>
              <w:t>n</w:t>
            </w:r>
          </w:p>
        </w:tc>
        <w:tc>
          <w:tcPr>
            <w:tcW w:type="dxa" w:w="1337"/>
          </w:tcPr>
          <w:p>
            <w:pPr>
              <w:spacing w:before="0" w:after="0" w:line="240" w:lineRule="auto"/>
              <w:jc w:val="left"/>
            </w:pPr>
            <w:r>
              <w:rPr>
                <w:rFonts w:ascii="Times New Roman" w:hAnsi="Times New Roman" w:cs="Times New Roman" w:eastAsia="Times New Roman"/>
                <w:b/>
                <w:i w:val="0"/>
                <w:sz w:val="20"/>
              </w:rPr>
              <w:t>%</w:t>
            </w:r>
          </w:p>
        </w:tc>
      </w:tr>
      <w:tr>
        <w:tc>
          <w:tcPr>
            <w:tcW w:type="dxa" w:w="1337"/>
          </w:tcPr>
          <w:p>
            <w:pPr>
              <w:spacing w:before="0" w:after="0" w:line="240" w:lineRule="auto"/>
              <w:jc w:val="left"/>
            </w:pPr>
            <w:r>
              <w:rPr>
                <w:rFonts w:ascii="Times New Roman" w:hAnsi="Times New Roman" w:cs="Times New Roman" w:eastAsia="Times New Roman"/>
                <w:b w:val="0"/>
                <w:i w:val="0"/>
                <w:sz w:val="20"/>
              </w:rPr>
              <w:t>Aportación en las actividades académicas</w:t>
            </w:r>
          </w:p>
        </w:tc>
        <w:tc>
          <w:tcPr>
            <w:tcW w:type="dxa" w:w="1337"/>
          </w:tcPr>
          <w:p>
            <w:pPr>
              <w:spacing w:before="0" w:after="0" w:line="240" w:lineRule="auto"/>
              <w:jc w:val="left"/>
            </w:pPr>
            <w:r>
              <w:rPr>
                <w:rFonts w:ascii="Times New Roman" w:hAnsi="Times New Roman" w:cs="Times New Roman" w:eastAsia="Times New Roman"/>
                <w:b w:val="0"/>
                <w:i w:val="0"/>
                <w:sz w:val="20"/>
              </w:rPr>
              <w:t>66</w:t>
            </w:r>
          </w:p>
        </w:tc>
        <w:tc>
          <w:tcPr>
            <w:tcW w:type="dxa" w:w="1337"/>
          </w:tcPr>
          <w:p>
            <w:pPr>
              <w:spacing w:before="0" w:after="0" w:line="240" w:lineRule="auto"/>
              <w:jc w:val="left"/>
            </w:pPr>
            <w:r>
              <w:rPr>
                <w:rFonts w:ascii="Times New Roman" w:hAnsi="Times New Roman" w:cs="Times New Roman" w:eastAsia="Times New Roman"/>
                <w:b w:val="0"/>
                <w:i w:val="0"/>
                <w:sz w:val="20"/>
              </w:rPr>
              <w:t>35,9</w:t>
            </w:r>
          </w:p>
        </w:tc>
        <w:tc>
          <w:tcPr>
            <w:tcW w:type="dxa" w:w="1337"/>
          </w:tcPr>
          <w:p>
            <w:pPr>
              <w:spacing w:before="0" w:after="0" w:line="240" w:lineRule="auto"/>
              <w:jc w:val="left"/>
            </w:pPr>
            <w:r>
              <w:rPr>
                <w:rFonts w:ascii="Times New Roman" w:hAnsi="Times New Roman" w:cs="Times New Roman" w:eastAsia="Times New Roman"/>
                <w:b w:val="0"/>
                <w:i w:val="0"/>
                <w:sz w:val="20"/>
              </w:rPr>
              <w:t>118</w:t>
            </w:r>
          </w:p>
        </w:tc>
        <w:tc>
          <w:tcPr>
            <w:tcW w:type="dxa" w:w="1337"/>
          </w:tcPr>
          <w:p>
            <w:pPr>
              <w:spacing w:before="0" w:after="0" w:line="240" w:lineRule="auto"/>
              <w:jc w:val="left"/>
            </w:pPr>
            <w:r>
              <w:rPr>
                <w:rFonts w:ascii="Times New Roman" w:hAnsi="Times New Roman" w:cs="Times New Roman" w:eastAsia="Times New Roman"/>
                <w:b w:val="0"/>
                <w:i w:val="0"/>
                <w:sz w:val="20"/>
              </w:rPr>
              <w:t>64,1</w:t>
            </w:r>
          </w:p>
        </w:tc>
        <w:tc>
          <w:tcPr>
            <w:tcW w:type="dxa" w:w="1337"/>
          </w:tcPr>
          <w:p>
            <w:pPr>
              <w:spacing w:before="0" w:after="0" w:line="240" w:lineRule="auto"/>
              <w:jc w:val="left"/>
            </w:pPr>
            <w:r>
              <w:rPr>
                <w:rFonts w:ascii="Times New Roman" w:hAnsi="Times New Roman" w:cs="Times New Roman" w:eastAsia="Times New Roman"/>
                <w:b w:val="0"/>
                <w:i w:val="0"/>
                <w:sz w:val="20"/>
              </w:rPr>
              <w:t>0</w:t>
            </w:r>
          </w:p>
        </w:tc>
        <w:tc>
          <w:tcPr>
            <w:tcW w:type="dxa" w:w="1337"/>
          </w:tcPr>
          <w:p>
            <w:pPr>
              <w:spacing w:before="0" w:after="0" w:line="240" w:lineRule="auto"/>
              <w:jc w:val="left"/>
            </w:pPr>
            <w:r>
              <w:rPr>
                <w:rFonts w:ascii="Times New Roman" w:hAnsi="Times New Roman" w:cs="Times New Roman" w:eastAsia="Times New Roman"/>
                <w:b w:val="0"/>
                <w:i w:val="0"/>
                <w:sz w:val="20"/>
              </w:rPr>
              <w:t>0,0%</w:t>
            </w:r>
          </w:p>
        </w:tc>
      </w:tr>
      <w:tr>
        <w:tc>
          <w:tcPr>
            <w:tcW w:type="dxa" w:w="1337"/>
          </w:tcPr>
          <w:p>
            <w:pPr>
              <w:spacing w:before="0" w:after="0" w:line="240" w:lineRule="auto"/>
              <w:jc w:val="left"/>
            </w:pPr>
            <w:r>
              <w:rPr>
                <w:rFonts w:ascii="Times New Roman" w:hAnsi="Times New Roman" w:cs="Times New Roman" w:eastAsia="Times New Roman"/>
                <w:b w:val="0"/>
                <w:i w:val="0"/>
                <w:sz w:val="20"/>
              </w:rPr>
              <w:t>Dedicación al estudio</w:t>
            </w:r>
          </w:p>
        </w:tc>
        <w:tc>
          <w:tcPr>
            <w:tcW w:type="dxa" w:w="1337"/>
          </w:tcPr>
          <w:p>
            <w:pPr>
              <w:spacing w:before="0" w:after="0" w:line="240" w:lineRule="auto"/>
              <w:jc w:val="left"/>
            </w:pPr>
            <w:r>
              <w:rPr>
                <w:rFonts w:ascii="Times New Roman" w:hAnsi="Times New Roman" w:cs="Times New Roman" w:eastAsia="Times New Roman"/>
                <w:b w:val="0"/>
                <w:i w:val="0"/>
                <w:sz w:val="20"/>
              </w:rPr>
              <w:t>95</w:t>
            </w:r>
          </w:p>
        </w:tc>
        <w:tc>
          <w:tcPr>
            <w:tcW w:type="dxa" w:w="1337"/>
          </w:tcPr>
          <w:p>
            <w:pPr>
              <w:spacing w:before="0" w:after="0" w:line="240" w:lineRule="auto"/>
              <w:jc w:val="left"/>
            </w:pPr>
            <w:r>
              <w:rPr>
                <w:rFonts w:ascii="Times New Roman" w:hAnsi="Times New Roman" w:cs="Times New Roman" w:eastAsia="Times New Roman"/>
                <w:b w:val="0"/>
                <w:i w:val="0"/>
                <w:sz w:val="20"/>
              </w:rPr>
              <w:t>51,6</w:t>
            </w:r>
          </w:p>
        </w:tc>
        <w:tc>
          <w:tcPr>
            <w:tcW w:type="dxa" w:w="1337"/>
          </w:tcPr>
          <w:p>
            <w:pPr>
              <w:spacing w:before="0" w:after="0" w:line="240" w:lineRule="auto"/>
              <w:jc w:val="left"/>
            </w:pPr>
            <w:r>
              <w:rPr>
                <w:rFonts w:ascii="Times New Roman" w:hAnsi="Times New Roman" w:cs="Times New Roman" w:eastAsia="Times New Roman"/>
                <w:b w:val="0"/>
                <w:i w:val="0"/>
                <w:sz w:val="20"/>
              </w:rPr>
              <w:t>88</w:t>
            </w:r>
          </w:p>
        </w:tc>
        <w:tc>
          <w:tcPr>
            <w:tcW w:type="dxa" w:w="1337"/>
          </w:tcPr>
          <w:p>
            <w:pPr>
              <w:spacing w:before="0" w:after="0" w:line="240" w:lineRule="auto"/>
              <w:jc w:val="left"/>
            </w:pPr>
            <w:r>
              <w:rPr>
                <w:rFonts w:ascii="Times New Roman" w:hAnsi="Times New Roman" w:cs="Times New Roman" w:eastAsia="Times New Roman"/>
                <w:b w:val="0"/>
                <w:i w:val="0"/>
                <w:sz w:val="20"/>
              </w:rPr>
              <w:t>47,8</w:t>
            </w:r>
          </w:p>
        </w:tc>
        <w:tc>
          <w:tcPr>
            <w:tcW w:type="dxa" w:w="1337"/>
          </w:tcPr>
          <w:p>
            <w:pPr>
              <w:spacing w:before="0" w:after="0" w:line="240" w:lineRule="auto"/>
              <w:jc w:val="left"/>
            </w:pPr>
            <w:r>
              <w:rPr>
                <w:rFonts w:ascii="Times New Roman" w:hAnsi="Times New Roman" w:cs="Times New Roman" w:eastAsia="Times New Roman"/>
                <w:b w:val="0"/>
                <w:i w:val="0"/>
                <w:sz w:val="20"/>
              </w:rPr>
              <w:t>1</w:t>
            </w:r>
          </w:p>
        </w:tc>
        <w:tc>
          <w:tcPr>
            <w:tcW w:type="dxa" w:w="1337"/>
          </w:tcPr>
          <w:p>
            <w:pPr>
              <w:spacing w:before="0" w:after="0" w:line="240" w:lineRule="auto"/>
              <w:jc w:val="left"/>
            </w:pPr>
            <w:r>
              <w:rPr>
                <w:rFonts w:ascii="Times New Roman" w:hAnsi="Times New Roman" w:cs="Times New Roman" w:eastAsia="Times New Roman"/>
                <w:b w:val="0"/>
                <w:i w:val="0"/>
                <w:sz w:val="20"/>
              </w:rPr>
              <w:t>0,5</w:t>
            </w:r>
          </w:p>
        </w:tc>
      </w:tr>
      <w:tr>
        <w:tc>
          <w:tcPr>
            <w:tcW w:type="dxa" w:w="1337"/>
          </w:tcPr>
          <w:p>
            <w:pPr>
              <w:spacing w:before="0" w:after="0" w:line="240" w:lineRule="auto"/>
              <w:jc w:val="left"/>
            </w:pPr>
            <w:r>
              <w:rPr>
                <w:rFonts w:ascii="Times New Roman" w:hAnsi="Times New Roman" w:cs="Times New Roman" w:eastAsia="Times New Roman"/>
                <w:b w:val="0"/>
                <w:i w:val="0"/>
                <w:sz w:val="20"/>
              </w:rPr>
              <w:t>Falta de organización de los recursos didácticos</w:t>
            </w:r>
          </w:p>
        </w:tc>
        <w:tc>
          <w:tcPr>
            <w:tcW w:type="dxa" w:w="1337"/>
          </w:tcPr>
          <w:p>
            <w:pPr>
              <w:spacing w:before="0" w:after="0" w:line="240" w:lineRule="auto"/>
              <w:jc w:val="left"/>
            </w:pPr>
            <w:r>
              <w:rPr>
                <w:rFonts w:ascii="Times New Roman" w:hAnsi="Times New Roman" w:cs="Times New Roman" w:eastAsia="Times New Roman"/>
                <w:b w:val="0"/>
                <w:i w:val="0"/>
                <w:sz w:val="20"/>
              </w:rPr>
              <w:t>3</w:t>
            </w:r>
          </w:p>
        </w:tc>
        <w:tc>
          <w:tcPr>
            <w:tcW w:type="dxa" w:w="1337"/>
          </w:tcPr>
          <w:p>
            <w:pPr>
              <w:spacing w:before="0" w:after="0" w:line="240" w:lineRule="auto"/>
              <w:jc w:val="left"/>
            </w:pPr>
            <w:r>
              <w:rPr>
                <w:rFonts w:ascii="Times New Roman" w:hAnsi="Times New Roman" w:cs="Times New Roman" w:eastAsia="Times New Roman"/>
                <w:b w:val="0"/>
                <w:i w:val="0"/>
                <w:sz w:val="20"/>
              </w:rPr>
              <w:t>1,6</w:t>
            </w:r>
          </w:p>
        </w:tc>
        <w:tc>
          <w:tcPr>
            <w:tcW w:type="dxa" w:w="1337"/>
          </w:tcPr>
          <w:p>
            <w:pPr>
              <w:spacing w:before="0" w:after="0" w:line="240" w:lineRule="auto"/>
              <w:jc w:val="left"/>
            </w:pPr>
            <w:r>
              <w:rPr>
                <w:rFonts w:ascii="Times New Roman" w:hAnsi="Times New Roman" w:cs="Times New Roman" w:eastAsia="Times New Roman"/>
                <w:b w:val="0"/>
                <w:i w:val="0"/>
                <w:sz w:val="20"/>
              </w:rPr>
              <w:t>42</w:t>
            </w:r>
          </w:p>
        </w:tc>
        <w:tc>
          <w:tcPr>
            <w:tcW w:type="dxa" w:w="1337"/>
          </w:tcPr>
          <w:p>
            <w:pPr>
              <w:spacing w:before="0" w:after="0" w:line="240" w:lineRule="auto"/>
              <w:jc w:val="left"/>
            </w:pPr>
            <w:r>
              <w:rPr>
                <w:rFonts w:ascii="Times New Roman" w:hAnsi="Times New Roman" w:cs="Times New Roman" w:eastAsia="Times New Roman"/>
                <w:b w:val="0"/>
                <w:i w:val="0"/>
                <w:sz w:val="20"/>
              </w:rPr>
              <w:t>22,8</w:t>
            </w:r>
          </w:p>
        </w:tc>
        <w:tc>
          <w:tcPr>
            <w:tcW w:type="dxa" w:w="1337"/>
          </w:tcPr>
          <w:p>
            <w:pPr>
              <w:spacing w:before="0" w:after="0" w:line="240" w:lineRule="auto"/>
              <w:jc w:val="left"/>
            </w:pPr>
            <w:r>
              <w:rPr>
                <w:rFonts w:ascii="Times New Roman" w:hAnsi="Times New Roman" w:cs="Times New Roman" w:eastAsia="Times New Roman"/>
                <w:b w:val="0"/>
                <w:i w:val="0"/>
                <w:sz w:val="20"/>
              </w:rPr>
              <w:t>139</w:t>
            </w:r>
          </w:p>
        </w:tc>
        <w:tc>
          <w:tcPr>
            <w:tcW w:type="dxa" w:w="1337"/>
          </w:tcPr>
          <w:p>
            <w:pPr>
              <w:spacing w:before="0" w:after="0" w:line="240" w:lineRule="auto"/>
              <w:jc w:val="left"/>
            </w:pPr>
            <w:r>
              <w:rPr>
                <w:rFonts w:ascii="Times New Roman" w:hAnsi="Times New Roman" w:cs="Times New Roman" w:eastAsia="Times New Roman"/>
                <w:b w:val="0"/>
                <w:i w:val="0"/>
                <w:sz w:val="20"/>
              </w:rPr>
              <w:t>75,5</w:t>
            </w:r>
          </w:p>
        </w:tc>
      </w:tr>
    </w:tbl>
    <w:p>
      <w:pPr>
        <w:spacing w:before="80" w:after="240" w:line="240" w:lineRule="auto"/>
        <w:jc w:val="left"/>
      </w:pPr>
      <w:r>
        <w:rPr>
          <w:rFonts w:ascii="Times New Roman" w:hAnsi="Times New Roman" w:cs="Times New Roman" w:eastAsia="Times New Roman"/>
          <w:b/>
          <w:i w:val="0"/>
          <w:sz w:val="20"/>
        </w:rPr>
        <w:t>Fuente:</w:t>
      </w:r>
      <w:r>
        <w:rPr>
          <w:rFonts w:ascii="Times New Roman" w:hAnsi="Times New Roman" w:cs="Times New Roman" w:eastAsia="Times New Roman"/>
          <w:b w:val="0"/>
          <w:i w:val="0"/>
          <w:sz w:val="20"/>
        </w:rPr>
        <w:t xml:space="preserve"> Elaboración propia (2024) a partir de los datos recolectados</w:t>
      </w:r>
    </w:p>
    <w:p>
      <w:pPr>
        <w:keepNext/>
        <w:spacing w:before="0" w:after="0" w:line="360" w:lineRule="auto"/>
        <w:jc w:val="left"/>
      </w:pPr>
      <w:r>
        <w:rPr>
          <w:rFonts w:ascii="Times New Roman" w:hAnsi="Times New Roman" w:cs="Times New Roman" w:eastAsia="Times New Roman"/>
          <w:b/>
          <w:i w:val="0"/>
          <w:sz w:val="24"/>
        </w:rPr>
        <w:t>Tabla 4.</w:t>
      </w:r>
    </w:p>
    <w:p>
      <w:pPr>
        <w:keepNext/>
        <w:spacing w:before="0" w:after="120" w:line="360" w:lineRule="auto"/>
        <w:jc w:val="left"/>
      </w:pPr>
      <w:r>
        <w:rPr>
          <w:rFonts w:ascii="Times New Roman" w:hAnsi="Times New Roman" w:cs="Times New Roman" w:eastAsia="Times New Roman"/>
          <w:b w:val="0"/>
          <w:i/>
          <w:sz w:val="24"/>
        </w:rPr>
        <w:t>Diferencias de las variables sociodemográficas y académicas, según las dimensiones del Rendimiento académico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1872"/>
        <w:gridCol w:w="1872"/>
        <w:gridCol w:w="1872"/>
        <w:gridCol w:w="1872"/>
        <w:gridCol w:w="1872"/>
      </w:tblGrid>
      <w:tr>
        <w:tc>
          <w:tcPr>
            <w:tcW w:type="dxa" w:w="1872"/>
          </w:tcPr>
          <w:p>
            <w:pPr>
              <w:spacing w:before="0" w:after="0" w:line="240" w:lineRule="auto"/>
              <w:jc w:val="left"/>
            </w:pPr>
            <w:r>
              <w:rPr>
                <w:rFonts w:ascii="Times New Roman" w:hAnsi="Times New Roman" w:cs="Times New Roman" w:eastAsia="Times New Roman"/>
                <w:b/>
                <w:i w:val="0"/>
                <w:sz w:val="20"/>
              </w:rPr>
              <w:t>Variables</w:t>
            </w:r>
          </w:p>
        </w:tc>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i w:val="0"/>
                <w:sz w:val="20"/>
              </w:rPr>
              <w:t>Aportación en las actividades académicas</w:t>
            </w:r>
          </w:p>
        </w:tc>
        <w:tc>
          <w:tcPr>
            <w:tcW w:type="dxa" w:w="1872"/>
          </w:tcPr>
          <w:p>
            <w:pPr>
              <w:spacing w:before="0" w:after="0" w:line="240" w:lineRule="auto"/>
              <w:jc w:val="left"/>
            </w:pPr>
            <w:r>
              <w:rPr>
                <w:rFonts w:ascii="Times New Roman" w:hAnsi="Times New Roman" w:cs="Times New Roman" w:eastAsia="Times New Roman"/>
                <w:b/>
                <w:i w:val="0"/>
                <w:sz w:val="20"/>
              </w:rPr>
              <w:t>Dedicación al estudio</w:t>
            </w:r>
          </w:p>
        </w:tc>
        <w:tc>
          <w:tcPr>
            <w:tcW w:type="dxa" w:w="1872"/>
          </w:tcPr>
          <w:p>
            <w:pPr>
              <w:spacing w:before="0" w:after="0" w:line="240" w:lineRule="auto"/>
              <w:jc w:val="left"/>
            </w:pPr>
            <w:r>
              <w:rPr>
                <w:rFonts w:ascii="Times New Roman" w:hAnsi="Times New Roman" w:cs="Times New Roman" w:eastAsia="Times New Roman"/>
                <w:b/>
                <w:i w:val="0"/>
                <w:sz w:val="20"/>
              </w:rPr>
              <w:t>Falta de organización de los recursos didácticos</w:t>
            </w:r>
          </w:p>
        </w:tc>
      </w:tr>
      <w:tr>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i w:val="0"/>
                <w:sz w:val="20"/>
              </w:rPr>
              <w:t>Valor p</w:t>
            </w:r>
          </w:p>
        </w:tc>
        <w:tc>
          <w:tcPr>
            <w:tcW w:type="dxa" w:w="1872"/>
          </w:tcPr>
          <w:p>
            <w:pPr>
              <w:spacing w:before="0" w:after="0" w:line="240" w:lineRule="auto"/>
              <w:jc w:val="left"/>
            </w:pPr>
            <w:r>
              <w:rPr>
                <w:rFonts w:ascii="Times New Roman" w:hAnsi="Times New Roman" w:cs="Times New Roman" w:eastAsia="Times New Roman"/>
                <w:b/>
                <w:i w:val="0"/>
                <w:sz w:val="20"/>
              </w:rPr>
              <w:t>Valor p</w:t>
            </w:r>
          </w:p>
        </w:tc>
        <w:tc>
          <w:tcPr>
            <w:tcW w:type="dxa" w:w="1872"/>
          </w:tcPr>
          <w:p>
            <w:pPr>
              <w:spacing w:before="0" w:after="0" w:line="240" w:lineRule="auto"/>
              <w:jc w:val="left"/>
            </w:pPr>
            <w:r>
              <w:rPr>
                <w:rFonts w:ascii="Times New Roman" w:hAnsi="Times New Roman" w:cs="Times New Roman" w:eastAsia="Times New Roman"/>
                <w:b/>
                <w:i w:val="0"/>
                <w:sz w:val="20"/>
              </w:rPr>
              <w:t>Valor p</w:t>
            </w:r>
          </w:p>
        </w:tc>
      </w:tr>
      <w:tr>
        <w:tc>
          <w:tcPr>
            <w:tcW w:type="dxa" w:w="1872"/>
          </w:tcPr>
          <w:p>
            <w:pPr>
              <w:spacing w:before="0" w:after="0" w:line="240" w:lineRule="auto"/>
              <w:jc w:val="left"/>
            </w:pPr>
            <w:r>
              <w:rPr>
                <w:rFonts w:ascii="Times New Roman" w:hAnsi="Times New Roman" w:cs="Times New Roman" w:eastAsia="Times New Roman"/>
                <w:b w:val="0"/>
                <w:i w:val="0"/>
                <w:sz w:val="20"/>
              </w:rPr>
              <w:t>Edad</w:t>
            </w:r>
          </w:p>
        </w:tc>
        <w:tc>
          <w:tcPr>
            <w:tcW w:type="dxa" w:w="1872"/>
          </w:tcPr>
          <w:p>
            <w:pPr>
              <w:spacing w:before="0" w:after="0" w:line="240" w:lineRule="auto"/>
              <w:jc w:val="left"/>
            </w:pPr>
            <w:r>
              <w:rPr>
                <w:rFonts w:ascii="Times New Roman" w:hAnsi="Times New Roman" w:cs="Times New Roman" w:eastAsia="Times New Roman"/>
                <w:b w:val="0"/>
                <w:i w:val="0"/>
                <w:sz w:val="20"/>
              </w:rPr>
              <w:t>≤ 25 años</w:t>
            </w:r>
          </w:p>
        </w:tc>
        <w:tc>
          <w:tcPr>
            <w:tcW w:type="dxa" w:w="1872"/>
          </w:tcPr>
          <w:p>
            <w:pPr>
              <w:spacing w:before="0" w:after="0" w:line="240" w:lineRule="auto"/>
              <w:jc w:val="left"/>
            </w:pPr>
            <w:r>
              <w:rPr>
                <w:rFonts w:ascii="Times New Roman" w:hAnsi="Times New Roman" w:cs="Times New Roman" w:eastAsia="Times New Roman"/>
                <w:b w:val="0"/>
                <w:i w:val="0"/>
                <w:sz w:val="20"/>
              </w:rPr>
              <w:t>,694</w:t>
            </w:r>
          </w:p>
        </w:tc>
        <w:tc>
          <w:tcPr>
            <w:tcW w:type="dxa" w:w="1872"/>
          </w:tcPr>
          <w:p>
            <w:pPr>
              <w:spacing w:before="0" w:after="0" w:line="240" w:lineRule="auto"/>
              <w:jc w:val="left"/>
            </w:pPr>
            <w:r>
              <w:rPr>
                <w:rFonts w:ascii="Times New Roman" w:hAnsi="Times New Roman" w:cs="Times New Roman" w:eastAsia="Times New Roman"/>
                <w:b w:val="0"/>
                <w:i w:val="0"/>
                <w:sz w:val="20"/>
              </w:rPr>
              <w:t>,561</w:t>
            </w:r>
          </w:p>
        </w:tc>
        <w:tc>
          <w:tcPr>
            <w:tcW w:type="dxa" w:w="1872"/>
          </w:tcPr>
          <w:p>
            <w:pPr>
              <w:spacing w:before="0" w:after="0" w:line="240" w:lineRule="auto"/>
              <w:jc w:val="left"/>
            </w:pPr>
            <w:r>
              <w:rPr>
                <w:rFonts w:ascii="Times New Roman" w:hAnsi="Times New Roman" w:cs="Times New Roman" w:eastAsia="Times New Roman"/>
                <w:b w:val="0"/>
                <w:i w:val="0"/>
                <w:sz w:val="20"/>
              </w:rPr>
              <w:t>,025</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&gt; 25 años</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r>
              <w:rPr>
                <w:rFonts w:ascii="Times New Roman" w:hAnsi="Times New Roman" w:cs="Times New Roman" w:eastAsia="Times New Roman"/>
                <w:b w:val="0"/>
                <w:i w:val="0"/>
                <w:sz w:val="20"/>
              </w:rPr>
              <w:t>Sexo</w:t>
            </w:r>
          </w:p>
        </w:tc>
        <w:tc>
          <w:tcPr>
            <w:tcW w:type="dxa" w:w="1872"/>
          </w:tcPr>
          <w:p>
            <w:pPr>
              <w:spacing w:before="0" w:after="0" w:line="240" w:lineRule="auto"/>
              <w:jc w:val="left"/>
            </w:pPr>
            <w:r>
              <w:rPr>
                <w:rFonts w:ascii="Times New Roman" w:hAnsi="Times New Roman" w:cs="Times New Roman" w:eastAsia="Times New Roman"/>
                <w:b w:val="0"/>
                <w:i w:val="0"/>
                <w:sz w:val="20"/>
              </w:rPr>
              <w:t>Femenino</w:t>
            </w:r>
          </w:p>
        </w:tc>
        <w:tc>
          <w:tcPr>
            <w:tcW w:type="dxa" w:w="1872"/>
          </w:tcPr>
          <w:p>
            <w:pPr>
              <w:spacing w:before="0" w:after="0" w:line="240" w:lineRule="auto"/>
              <w:jc w:val="left"/>
            </w:pPr>
            <w:r>
              <w:rPr>
                <w:rFonts w:ascii="Times New Roman" w:hAnsi="Times New Roman" w:cs="Times New Roman" w:eastAsia="Times New Roman"/>
                <w:b w:val="0"/>
                <w:i w:val="0"/>
                <w:sz w:val="20"/>
              </w:rPr>
              <w:t>,279</w:t>
            </w:r>
          </w:p>
        </w:tc>
        <w:tc>
          <w:tcPr>
            <w:tcW w:type="dxa" w:w="1872"/>
          </w:tcPr>
          <w:p>
            <w:pPr>
              <w:spacing w:before="0" w:after="0" w:line="240" w:lineRule="auto"/>
              <w:jc w:val="left"/>
            </w:pPr>
            <w:r>
              <w:rPr>
                <w:rFonts w:ascii="Times New Roman" w:hAnsi="Times New Roman" w:cs="Times New Roman" w:eastAsia="Times New Roman"/>
                <w:b w:val="0"/>
                <w:i w:val="0"/>
                <w:sz w:val="20"/>
              </w:rPr>
              <w:t>,451</w:t>
            </w:r>
          </w:p>
        </w:tc>
        <w:tc>
          <w:tcPr>
            <w:tcW w:type="dxa" w:w="1872"/>
          </w:tcPr>
          <w:p>
            <w:pPr>
              <w:spacing w:before="0" w:after="0" w:line="240" w:lineRule="auto"/>
              <w:jc w:val="left"/>
            </w:pPr>
            <w:r>
              <w:rPr>
                <w:rFonts w:ascii="Times New Roman" w:hAnsi="Times New Roman" w:cs="Times New Roman" w:eastAsia="Times New Roman"/>
                <w:b w:val="0"/>
                <w:i w:val="0"/>
                <w:sz w:val="20"/>
              </w:rPr>
              <w:t>,138</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Masculino</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r>
              <w:rPr>
                <w:rFonts w:ascii="Times New Roman" w:hAnsi="Times New Roman" w:cs="Times New Roman" w:eastAsia="Times New Roman"/>
                <w:b w:val="0"/>
                <w:i w:val="0"/>
                <w:sz w:val="20"/>
              </w:rPr>
              <w:t>Estado civil</w:t>
            </w:r>
          </w:p>
        </w:tc>
        <w:tc>
          <w:tcPr>
            <w:tcW w:type="dxa" w:w="1872"/>
          </w:tcPr>
          <w:p>
            <w:pPr>
              <w:spacing w:before="0" w:after="0" w:line="240" w:lineRule="auto"/>
              <w:jc w:val="left"/>
            </w:pPr>
            <w:r>
              <w:rPr>
                <w:rFonts w:ascii="Times New Roman" w:hAnsi="Times New Roman" w:cs="Times New Roman" w:eastAsia="Times New Roman"/>
                <w:b w:val="0"/>
                <w:i w:val="0"/>
                <w:sz w:val="20"/>
              </w:rPr>
              <w:t>Soltero</w:t>
            </w:r>
          </w:p>
        </w:tc>
        <w:tc>
          <w:tcPr>
            <w:tcW w:type="dxa" w:w="1872"/>
          </w:tcPr>
          <w:p>
            <w:pPr>
              <w:spacing w:before="0" w:after="0" w:line="240" w:lineRule="auto"/>
              <w:jc w:val="left"/>
            </w:pPr>
            <w:r>
              <w:rPr>
                <w:rFonts w:ascii="Times New Roman" w:hAnsi="Times New Roman" w:cs="Times New Roman" w:eastAsia="Times New Roman"/>
                <w:b w:val="0"/>
                <w:i w:val="0"/>
                <w:sz w:val="20"/>
              </w:rPr>
              <w:t>,613</w:t>
            </w:r>
          </w:p>
        </w:tc>
        <w:tc>
          <w:tcPr>
            <w:tcW w:type="dxa" w:w="1872"/>
          </w:tcPr>
          <w:p>
            <w:pPr>
              <w:spacing w:before="0" w:after="0" w:line="240" w:lineRule="auto"/>
              <w:jc w:val="left"/>
            </w:pPr>
            <w:r>
              <w:rPr>
                <w:rFonts w:ascii="Times New Roman" w:hAnsi="Times New Roman" w:cs="Times New Roman" w:eastAsia="Times New Roman"/>
                <w:b w:val="0"/>
                <w:i w:val="0"/>
                <w:sz w:val="20"/>
              </w:rPr>
              <w:t>,631</w:t>
            </w:r>
          </w:p>
        </w:tc>
        <w:tc>
          <w:tcPr>
            <w:tcW w:type="dxa" w:w="1872"/>
          </w:tcPr>
          <w:p>
            <w:pPr>
              <w:spacing w:before="0" w:after="0" w:line="240" w:lineRule="auto"/>
              <w:jc w:val="left"/>
            </w:pPr>
            <w:r>
              <w:rPr>
                <w:rFonts w:ascii="Times New Roman" w:hAnsi="Times New Roman" w:cs="Times New Roman" w:eastAsia="Times New Roman"/>
                <w:b w:val="0"/>
                <w:i w:val="0"/>
                <w:sz w:val="20"/>
              </w:rPr>
              <w:t>,993</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Casado</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Conviviente</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Viudo</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r>
              <w:rPr>
                <w:rFonts w:ascii="Times New Roman" w:hAnsi="Times New Roman" w:cs="Times New Roman" w:eastAsia="Times New Roman"/>
                <w:b w:val="0"/>
                <w:i w:val="0"/>
                <w:sz w:val="20"/>
              </w:rPr>
              <w:t>Segunda carrera profesional</w:t>
            </w:r>
          </w:p>
        </w:tc>
        <w:tc>
          <w:tcPr>
            <w:tcW w:type="dxa" w:w="1872"/>
          </w:tcPr>
          <w:p>
            <w:pPr>
              <w:spacing w:before="0" w:after="0" w:line="240" w:lineRule="auto"/>
              <w:jc w:val="left"/>
            </w:pPr>
            <w:r>
              <w:rPr>
                <w:rFonts w:ascii="Times New Roman" w:hAnsi="Times New Roman" w:cs="Times New Roman" w:eastAsia="Times New Roman"/>
                <w:b w:val="0"/>
                <w:i w:val="0"/>
                <w:sz w:val="20"/>
              </w:rPr>
              <w:t>Si</w:t>
            </w:r>
          </w:p>
        </w:tc>
        <w:tc>
          <w:tcPr>
            <w:tcW w:type="dxa" w:w="1872"/>
          </w:tcPr>
          <w:p>
            <w:pPr>
              <w:spacing w:before="0" w:after="0" w:line="240" w:lineRule="auto"/>
              <w:jc w:val="left"/>
            </w:pPr>
            <w:r>
              <w:rPr>
                <w:rFonts w:ascii="Times New Roman" w:hAnsi="Times New Roman" w:cs="Times New Roman" w:eastAsia="Times New Roman"/>
                <w:b w:val="0"/>
                <w:i w:val="0"/>
                <w:sz w:val="20"/>
              </w:rPr>
              <w:t>,779</w:t>
            </w:r>
          </w:p>
        </w:tc>
        <w:tc>
          <w:tcPr>
            <w:tcW w:type="dxa" w:w="1872"/>
          </w:tcPr>
          <w:p>
            <w:pPr>
              <w:spacing w:before="0" w:after="0" w:line="240" w:lineRule="auto"/>
              <w:jc w:val="left"/>
            </w:pPr>
            <w:r>
              <w:rPr>
                <w:rFonts w:ascii="Times New Roman" w:hAnsi="Times New Roman" w:cs="Times New Roman" w:eastAsia="Times New Roman"/>
                <w:b w:val="0"/>
                <w:i w:val="0"/>
                <w:sz w:val="20"/>
              </w:rPr>
              <w:t>,757</w:t>
            </w:r>
          </w:p>
        </w:tc>
        <w:tc>
          <w:tcPr>
            <w:tcW w:type="dxa" w:w="1872"/>
          </w:tcPr>
          <w:p>
            <w:pPr>
              <w:spacing w:before="0" w:after="0" w:line="240" w:lineRule="auto"/>
              <w:jc w:val="left"/>
            </w:pPr>
            <w:r>
              <w:rPr>
                <w:rFonts w:ascii="Times New Roman" w:hAnsi="Times New Roman" w:cs="Times New Roman" w:eastAsia="Times New Roman"/>
                <w:b w:val="0"/>
                <w:i w:val="0"/>
                <w:sz w:val="20"/>
              </w:rPr>
              <w:t>,752</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No</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r>
              <w:rPr>
                <w:rFonts w:ascii="Times New Roman" w:hAnsi="Times New Roman" w:cs="Times New Roman" w:eastAsia="Times New Roman"/>
                <w:b w:val="0"/>
                <w:i w:val="0"/>
                <w:sz w:val="20"/>
              </w:rPr>
              <w:t>Algún momento has dejado de estudiar</w:t>
            </w:r>
          </w:p>
        </w:tc>
        <w:tc>
          <w:tcPr>
            <w:tcW w:type="dxa" w:w="1872"/>
          </w:tcPr>
          <w:p>
            <w:pPr>
              <w:spacing w:before="0" w:after="0" w:line="240" w:lineRule="auto"/>
              <w:jc w:val="left"/>
            </w:pPr>
            <w:r>
              <w:rPr>
                <w:rFonts w:ascii="Times New Roman" w:hAnsi="Times New Roman" w:cs="Times New Roman" w:eastAsia="Times New Roman"/>
                <w:b w:val="0"/>
                <w:i w:val="0"/>
                <w:sz w:val="20"/>
              </w:rPr>
              <w:t>Si</w:t>
            </w:r>
          </w:p>
        </w:tc>
        <w:tc>
          <w:tcPr>
            <w:tcW w:type="dxa" w:w="1872"/>
          </w:tcPr>
          <w:p>
            <w:pPr>
              <w:spacing w:before="0" w:after="0" w:line="240" w:lineRule="auto"/>
              <w:jc w:val="left"/>
            </w:pPr>
            <w:r>
              <w:rPr>
                <w:rFonts w:ascii="Times New Roman" w:hAnsi="Times New Roman" w:cs="Times New Roman" w:eastAsia="Times New Roman"/>
                <w:b w:val="0"/>
                <w:i w:val="0"/>
                <w:sz w:val="20"/>
              </w:rPr>
              <w:t>,256</w:t>
            </w:r>
          </w:p>
        </w:tc>
        <w:tc>
          <w:tcPr>
            <w:tcW w:type="dxa" w:w="1872"/>
          </w:tcPr>
          <w:p>
            <w:pPr>
              <w:spacing w:before="0" w:after="0" w:line="240" w:lineRule="auto"/>
              <w:jc w:val="left"/>
            </w:pPr>
            <w:r>
              <w:rPr>
                <w:rFonts w:ascii="Times New Roman" w:hAnsi="Times New Roman" w:cs="Times New Roman" w:eastAsia="Times New Roman"/>
                <w:b w:val="0"/>
                <w:i w:val="0"/>
                <w:sz w:val="20"/>
              </w:rPr>
              <w:t>,060</w:t>
            </w:r>
          </w:p>
        </w:tc>
        <w:tc>
          <w:tcPr>
            <w:tcW w:type="dxa" w:w="1872"/>
          </w:tcPr>
          <w:p>
            <w:pPr>
              <w:spacing w:before="0" w:after="0" w:line="240" w:lineRule="auto"/>
              <w:jc w:val="left"/>
            </w:pPr>
            <w:r>
              <w:rPr>
                <w:rFonts w:ascii="Times New Roman" w:hAnsi="Times New Roman" w:cs="Times New Roman" w:eastAsia="Times New Roman"/>
                <w:b w:val="0"/>
                <w:i w:val="0"/>
                <w:sz w:val="20"/>
              </w:rPr>
              <w:t>,685</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No</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r>
        <w:tc>
          <w:tcPr>
            <w:tcW w:type="dxa" w:w="1872"/>
          </w:tcPr>
          <w:p>
            <w:pPr>
              <w:spacing w:before="0" w:after="0" w:line="240" w:lineRule="auto"/>
              <w:jc w:val="left"/>
            </w:pPr>
            <w:r>
              <w:rPr>
                <w:rFonts w:ascii="Times New Roman" w:hAnsi="Times New Roman" w:cs="Times New Roman" w:eastAsia="Times New Roman"/>
                <w:b w:val="0"/>
                <w:i w:val="0"/>
                <w:sz w:val="20"/>
              </w:rPr>
              <w:t>Condición laboral</w:t>
            </w:r>
          </w:p>
        </w:tc>
        <w:tc>
          <w:tcPr>
            <w:tcW w:type="dxa" w:w="1872"/>
          </w:tcPr>
          <w:p>
            <w:pPr>
              <w:spacing w:before="0" w:after="0" w:line="240" w:lineRule="auto"/>
              <w:jc w:val="left"/>
            </w:pPr>
            <w:r>
              <w:rPr>
                <w:rFonts w:ascii="Times New Roman" w:hAnsi="Times New Roman" w:cs="Times New Roman" w:eastAsia="Times New Roman"/>
                <w:b w:val="0"/>
                <w:i w:val="0"/>
                <w:sz w:val="20"/>
              </w:rPr>
              <w:t>Solo estudia</w:t>
            </w:r>
          </w:p>
        </w:tc>
        <w:tc>
          <w:tcPr>
            <w:tcW w:type="dxa" w:w="1872"/>
          </w:tcPr>
          <w:p>
            <w:pPr>
              <w:spacing w:before="0" w:after="0" w:line="240" w:lineRule="auto"/>
              <w:jc w:val="left"/>
            </w:pPr>
            <w:r>
              <w:rPr>
                <w:rFonts w:ascii="Times New Roman" w:hAnsi="Times New Roman" w:cs="Times New Roman" w:eastAsia="Times New Roman"/>
                <w:b w:val="0"/>
                <w:i w:val="0"/>
                <w:sz w:val="20"/>
              </w:rPr>
              <w:t>,228</w:t>
            </w:r>
          </w:p>
        </w:tc>
        <w:tc>
          <w:tcPr>
            <w:tcW w:type="dxa" w:w="1872"/>
          </w:tcPr>
          <w:p>
            <w:pPr>
              <w:spacing w:before="0" w:after="0" w:line="240" w:lineRule="auto"/>
              <w:jc w:val="left"/>
            </w:pPr>
            <w:r>
              <w:rPr>
                <w:rFonts w:ascii="Times New Roman" w:hAnsi="Times New Roman" w:cs="Times New Roman" w:eastAsia="Times New Roman"/>
                <w:b w:val="0"/>
                <w:i w:val="0"/>
                <w:sz w:val="20"/>
              </w:rPr>
              <w:t>,314</w:t>
            </w:r>
          </w:p>
        </w:tc>
        <w:tc>
          <w:tcPr>
            <w:tcW w:type="dxa" w:w="1872"/>
          </w:tcPr>
          <w:p>
            <w:pPr>
              <w:spacing w:before="0" w:after="0" w:line="240" w:lineRule="auto"/>
              <w:jc w:val="left"/>
            </w:pPr>
            <w:r>
              <w:rPr>
                <w:rFonts w:ascii="Times New Roman" w:hAnsi="Times New Roman" w:cs="Times New Roman" w:eastAsia="Times New Roman"/>
                <w:b w:val="0"/>
                <w:i w:val="0"/>
                <w:sz w:val="20"/>
              </w:rPr>
              <w:t>,025</w:t>
            </w:r>
          </w:p>
        </w:tc>
      </w:tr>
      <w:tr>
        <w:tc>
          <w:tcPr>
            <w:tcW w:type="dxa" w:w="1872"/>
          </w:tcPr>
          <w:p>
            <w:pPr>
              <w:spacing w:before="0" w:after="0" w:line="240" w:lineRule="auto"/>
              <w:jc w:val="left"/>
            </w:pPr>
          </w:p>
        </w:tc>
        <w:tc>
          <w:tcPr>
            <w:tcW w:type="dxa" w:w="1872"/>
          </w:tcPr>
          <w:p>
            <w:pPr>
              <w:spacing w:before="0" w:after="0" w:line="240" w:lineRule="auto"/>
              <w:jc w:val="left"/>
            </w:pPr>
            <w:r>
              <w:rPr>
                <w:rFonts w:ascii="Times New Roman" w:hAnsi="Times New Roman" w:cs="Times New Roman" w:eastAsia="Times New Roman"/>
                <w:b w:val="0"/>
                <w:i w:val="0"/>
                <w:sz w:val="20"/>
              </w:rPr>
              <w:t>Estudia y trabaja</w:t>
            </w:r>
          </w:p>
        </w:tc>
        <w:tc>
          <w:tcPr>
            <w:tcW w:type="dxa" w:w="1872"/>
          </w:tcPr>
          <w:p>
            <w:pPr>
              <w:spacing w:before="0" w:after="0" w:line="240" w:lineRule="auto"/>
              <w:jc w:val="left"/>
            </w:pPr>
          </w:p>
        </w:tc>
        <w:tc>
          <w:tcPr>
            <w:tcW w:type="dxa" w:w="1872"/>
          </w:tcPr>
          <w:p>
            <w:pPr>
              <w:spacing w:before="0" w:after="0" w:line="240" w:lineRule="auto"/>
              <w:jc w:val="left"/>
            </w:pPr>
          </w:p>
        </w:tc>
        <w:tc>
          <w:tcPr>
            <w:tcW w:type="dxa" w:w="1872"/>
          </w:tcPr>
          <w:p>
            <w:pPr>
              <w:spacing w:before="0" w:after="0" w:line="240" w:lineRule="auto"/>
              <w:jc w:val="left"/>
            </w:pPr>
          </w:p>
        </w:tc>
      </w:tr>
    </w:tbl>
    <w:p>
      <w:pPr>
        <w:spacing w:before="80" w:after="240" w:line="240" w:lineRule="auto"/>
        <w:jc w:val="left"/>
      </w:pPr>
      <w:r>
        <w:rPr>
          <w:rFonts w:ascii="Times New Roman" w:hAnsi="Times New Roman" w:cs="Times New Roman" w:eastAsia="Times New Roman"/>
          <w:b/>
          <w:i w:val="0"/>
          <w:sz w:val="20"/>
        </w:rPr>
        <w:t>Fuente:</w:t>
      </w:r>
      <w:r>
        <w:rPr>
          <w:rFonts w:ascii="Times New Roman" w:hAnsi="Times New Roman" w:cs="Times New Roman" w:eastAsia="Times New Roman"/>
          <w:b w:val="0"/>
          <w:i w:val="0"/>
          <w:sz w:val="20"/>
        </w:rPr>
        <w:t xml:space="preserve"> Elaboración propia (2024) a partir de los datos recolectados</w:t>
      </w:r>
    </w:p>
    <w:p>
      <w:pPr>
        <w:spacing w:before="0" w:after="160" w:line="360" w:lineRule="auto"/>
        <w:ind w:firstLine="720"/>
        <w:jc w:val="both"/>
      </w:pPr>
      <w:r>
        <w:rPr>
          <w:rFonts w:ascii="Times New Roman" w:hAnsi="Times New Roman" w:cs="Times New Roman" w:eastAsia="Times New Roman"/>
          <w:b w:val="0"/>
          <w:i w:val="0"/>
          <w:sz w:val="24"/>
        </w:rPr>
        <w:t>En la tabla 3 se tiene los resultados de las dimensiones del rendimiento académico, de manera que para la aportación en las actividades académicas se tiene que un 35,9% es bajo y el 64,1% es medio; respecto a la dedicación al estudio el 51,6% es bajo, el 47,8% medio y el 0,5 alto; para estas dos dimensiones no se han encontrado diferencias significativas respecto a las variables sociodemográficas, académicas y laborales (tabla 4). Finalmente, para la dimensión falta de organización de los recursos didácticos, el 1,6 se ubica en el nivel bajo, el 22,8% recae en medio y el 75,5% en alto; así también, se han logrado encontrar diferencias significativas respecto a la edad y a la condición laboral (tabla 4).</w:t>
      </w:r>
    </w:p>
    <w:p>
      <w:pPr>
        <w:keepNext/>
        <w:spacing w:before="0" w:after="0" w:line="360" w:lineRule="auto"/>
        <w:jc w:val="left"/>
      </w:pPr>
      <w:r>
        <w:rPr>
          <w:rFonts w:ascii="Times New Roman" w:hAnsi="Times New Roman" w:cs="Times New Roman" w:eastAsia="Times New Roman"/>
          <w:b/>
          <w:i w:val="0"/>
          <w:sz w:val="24"/>
        </w:rPr>
        <w:t>Figura 1.</w:t>
      </w:r>
    </w:p>
    <w:p>
      <w:pPr>
        <w:keepNext/>
        <w:spacing w:before="0" w:after="120" w:line="360" w:lineRule="auto"/>
        <w:jc w:val="left"/>
      </w:pPr>
      <w:r>
        <w:rPr>
          <w:rFonts w:ascii="Times New Roman" w:hAnsi="Times New Roman" w:cs="Times New Roman" w:eastAsia="Times New Roman"/>
          <w:b w:val="0"/>
          <w:i/>
          <w:sz w:val="24"/>
        </w:rPr>
        <w:t>Cajas y bigotes de la variable y sus dimensiones</w:t>
      </w:r>
    </w:p>
    <w:p>
      <w:pPr>
        <w:spacing w:before="0" w:after="80" w:line="240" w:lineRule="auto"/>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g-001.png"/>
                    <pic:cNvPicPr/>
                  </pic:nvPicPr>
                  <pic:blipFill>
                    <a:blip r:embed="rId9"/>
                    <a:stretch>
                      <a:fillRect/>
                    </a:stretch>
                  </pic:blipFill>
                  <pic:spPr>
                    <a:xfrm>
                      <a:off x="0" y="0"/>
                      <a:ext cx="5486400" cy="5486400"/>
                    </a:xfrm>
                    <a:prstGeom prst="rect"/>
                  </pic:spPr>
                </pic:pic>
              </a:graphicData>
            </a:graphic>
          </wp:inline>
        </w:drawing>
      </w:r>
    </w:p>
    <w:p>
      <w:pPr>
        <w:spacing w:before="0" w:after="240" w:line="240" w:lineRule="auto"/>
        <w:jc w:val="left"/>
      </w:pPr>
      <w:r>
        <w:rPr>
          <w:rFonts w:ascii="Times New Roman" w:hAnsi="Times New Roman" w:cs="Times New Roman" w:eastAsia="Times New Roman"/>
          <w:b/>
          <w:i w:val="0"/>
          <w:sz w:val="20"/>
        </w:rPr>
        <w:t>Fuente:</w:t>
      </w:r>
      <w:r>
        <w:rPr>
          <w:rFonts w:ascii="Times New Roman" w:hAnsi="Times New Roman" w:cs="Times New Roman" w:eastAsia="Times New Roman"/>
          <w:b w:val="0"/>
          <w:i w:val="0"/>
          <w:sz w:val="20"/>
        </w:rPr>
        <w:t xml:space="preserve"> Elaboración propia (2024) a partir de los datos recolectados.</w:t>
      </w:r>
    </w:p>
    <w:p>
      <w:pPr>
        <w:keepNext/>
        <w:spacing w:before="480" w:after="160" w:line="360" w:lineRule="auto"/>
        <w:jc w:val="center"/>
      </w:pPr>
      <w:r>
        <w:rPr>
          <w:rFonts w:ascii="Times New Roman" w:hAnsi="Times New Roman" w:cs="Times New Roman" w:eastAsia="Times New Roman"/>
          <w:b/>
          <w:i w:val="0"/>
          <w:sz w:val="24"/>
        </w:rPr>
        <w:t>4. Discusión</w:t>
      </w:r>
    </w:p>
    <w:p>
      <w:pPr>
        <w:spacing w:before="0" w:after="160" w:line="360" w:lineRule="auto"/>
        <w:ind w:firstLine="720"/>
        <w:jc w:val="both"/>
      </w:pPr>
      <w:r>
        <w:rPr>
          <w:rFonts w:ascii="Times New Roman" w:hAnsi="Times New Roman" w:cs="Times New Roman" w:eastAsia="Times New Roman"/>
          <w:b w:val="0"/>
          <w:i w:val="0"/>
          <w:sz w:val="24"/>
        </w:rPr>
        <w:t>Existen investigaciones donde logran evaluar el aspecto subjetivo del participante de cómo avanza en el proceso de enseñanza-aprendizaje (Real-Delor et al., 2024). La educación superior conlleva nuevas responsabilidades que, combinadas con las expectativas de futuro, aumentan los niveles de estrés (Torres-Zapata, 2023). Esto se refleja en el rendimiento académico del estudiante, que también incluye otros indicadores académicos como el fracaso escolar e incluso el abandono de los estudios (Torres-Zapata et al., 2020). De acuerdo con los resultados obtenidos sobre la percepción que tiene el estudiante sobre su rendimiento se observa que el mayor porcentaje 84,2% se ubica en el nivel medio, teniendo en cuenta que la edad promedio de los participantes es de 18 años, por lo que la mayoría está iniciando esta transición de EBR (Educación Básica Regular) a la vida universitaria.</w:t>
      </w:r>
    </w:p>
    <w:p>
      <w:pPr>
        <w:spacing w:before="0" w:after="160" w:line="360" w:lineRule="auto"/>
        <w:ind w:firstLine="720"/>
        <w:jc w:val="both"/>
      </w:pPr>
      <w:r>
        <w:rPr>
          <w:rFonts w:ascii="Times New Roman" w:hAnsi="Times New Roman" w:cs="Times New Roman" w:eastAsia="Times New Roman"/>
          <w:b w:val="0"/>
          <w:i w:val="0"/>
          <w:sz w:val="24"/>
        </w:rPr>
        <w:t>De acuerdo a Talib et al. (2012), los estudiantes egipcios señalan que las dificultades académicas se encuentran relacionadas al nivel socioeconómico, al hacinamiento en el que viven, la mala relación entre los integrantes de la familia.</w:t>
      </w:r>
    </w:p>
    <w:p>
      <w:pPr>
        <w:spacing w:before="0" w:after="160" w:line="360" w:lineRule="auto"/>
        <w:ind w:firstLine="720"/>
        <w:jc w:val="both"/>
      </w:pPr>
      <w:r>
        <w:rPr>
          <w:rFonts w:ascii="Times New Roman" w:hAnsi="Times New Roman" w:cs="Times New Roman" w:eastAsia="Times New Roman"/>
          <w:b w:val="0"/>
          <w:i w:val="0"/>
          <w:sz w:val="24"/>
        </w:rPr>
        <w:t>Teniendo en cuenta las variables sociodemográficas, académicas y laborales no se han encontrado diferencias significativas respecto al rendimiento académico; bajo esta misma línea se tiene el estudio de Vélez (2005), donde señala que, a diferencia de otros estudios que especifican que las circunstancias socioeconómicas, el sexo, el origen, el hecho de vivir en el hogar paterno y la educación de los padres influyen significativamente en el rendimiento académico, no hubo diferencias estadísticamente significativas con respecto a los factores demográficos y el rendimiento académico (Andrade et al., 2000; Mizala et al., 1999); García y Moreno (2017), señalan que son básicamente los recursos económicos tienden afectar de manera notablemente el desarrollo de sus actividades académicas del estudiante.</w:t>
      </w:r>
    </w:p>
    <w:p>
      <w:pPr>
        <w:keepNext/>
        <w:spacing w:before="480" w:after="160" w:line="360" w:lineRule="auto"/>
        <w:jc w:val="center"/>
      </w:pPr>
      <w:r>
        <w:rPr>
          <w:rFonts w:ascii="Times New Roman" w:hAnsi="Times New Roman" w:cs="Times New Roman" w:eastAsia="Times New Roman"/>
          <w:b/>
          <w:i w:val="0"/>
          <w:sz w:val="24"/>
        </w:rPr>
        <w:t>5. Conclusiones</w:t>
      </w:r>
    </w:p>
    <w:p>
      <w:pPr>
        <w:spacing w:before="0" w:after="160" w:line="360" w:lineRule="auto"/>
        <w:ind w:firstLine="720"/>
        <w:jc w:val="both"/>
      </w:pPr>
      <w:r>
        <w:rPr>
          <w:rFonts w:ascii="Times New Roman" w:hAnsi="Times New Roman" w:cs="Times New Roman" w:eastAsia="Times New Roman"/>
          <w:b w:val="0"/>
          <w:i w:val="0"/>
          <w:sz w:val="24"/>
        </w:rPr>
        <w:t>Existe una prevalencia de jóvenes adultos solteros que están iniciando su educación superior, sugiriendo una tendencia hacia la continuidad educativa sin interrupciones significativas. Los resultados revelan que no existen diferencias estadísticamente significativas entre las variables generales respecto al rendimiento académico (p &gt; 0,05). Por lo que se señala que el rendimiento académico no está significativamente influenciado por factores como edad, sexo, estado civil, segunda carrera, interrupciones en los estudios o condiciones laborales.</w:t>
      </w:r>
    </w:p>
    <w:p>
      <w:pPr>
        <w:spacing w:before="0" w:after="160" w:line="360" w:lineRule="auto"/>
        <w:ind w:firstLine="720"/>
        <w:jc w:val="both"/>
      </w:pPr>
      <w:r>
        <w:rPr>
          <w:rFonts w:ascii="Times New Roman" w:hAnsi="Times New Roman" w:cs="Times New Roman" w:eastAsia="Times New Roman"/>
          <w:b w:val="0"/>
          <w:i w:val="0"/>
          <w:sz w:val="24"/>
        </w:rPr>
        <w:t>En la dimensión de Aportación en las actividades académicas el mayor porcentaje de estudiantes de Ingeniería se ubica dentro del nivel medio; mientras que en la dimensión Dedicación al estudio recae en bajo, la Falta de organización de los recursos didácticos se encuentran en el nivel alto; en esta última dimensión se han logrado encontrar diferencias significativas en la edad y condición laboral.</w:t>
      </w:r>
    </w:p>
    <w:p>
      <w:pPr>
        <w:spacing w:before="0" w:after="160" w:line="360" w:lineRule="auto"/>
        <w:ind w:firstLine="720"/>
        <w:jc w:val="both"/>
      </w:pPr>
      <w:r>
        <w:rPr>
          <w:rFonts w:ascii="Times New Roman" w:hAnsi="Times New Roman" w:cs="Times New Roman" w:eastAsia="Times New Roman"/>
          <w:b w:val="0"/>
          <w:i w:val="0"/>
          <w:sz w:val="24"/>
        </w:rPr>
        <w:t>Si bien no se han encontrado factores que se asocien con el rendimiento académico, sí se ha establecido el nivel de percepción que tienen los estudiantes sobre su rendimiento académico, por lo que es necesario desarrollar estrategias que permitan mejorar el aprendizaje de los estudiantes a fin de que no desistan de continuar con sus estudios universitarios y no agudizar la problemática del país respecto a la deserción universitaria. Por otro lado, los resultados no se pueden extrapolar a la población universitaria en general, si permite tener una mejor visión de cómo el estudiante de Ingeniería del primer ciclo de la universidad empieza a percibir su desempeño dentro del ámbito académico. Siendo un análisis subjetivo, por lo que se recomienda en futuras investigaciones poder complementar con las calificaciones que han obtenido durante el semestre académico.</w:t>
      </w:r>
    </w:p>
    <w:p>
      <w:pPr>
        <w:pageBreakBefore/>
        <w:spacing w:after="0"/>
      </w:pPr>
    </w:p>
    <w:p>
      <w:pPr>
        <w:spacing w:before="480" w:after="160" w:line="360" w:lineRule="auto"/>
        <w:jc w:val="center"/>
      </w:pPr>
      <w:r>
        <w:rPr>
          <w:rFonts w:ascii="Times New Roman" w:hAnsi="Times New Roman" w:cs="Times New Roman" w:eastAsia="Times New Roman"/>
          <w:b/>
          <w:i w:val="0"/>
          <w:sz w:val="24"/>
        </w:rPr>
        <w:t>6. 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Alshammari, F., Saguban, R, Pasay-an, E., Altheban, A. y Al-Shammari, L. (2017). Factors affecting the academic performance of student nurses: A cross-sectional study. </w:t>
      </w:r>
      <w:r>
        <w:rPr>
          <w:rFonts w:ascii="Times New Roman" w:hAnsi="Times New Roman" w:cs="Times New Roman" w:eastAsia="Times New Roman"/>
          <w:b w:val="0"/>
          <w:i/>
          <w:sz w:val="24"/>
        </w:rPr>
        <w:t>Journal of Nursing Education and Practice, 8</w:t>
      </w:r>
      <w:r>
        <w:rPr>
          <w:rFonts w:ascii="Times New Roman" w:hAnsi="Times New Roman" w:cs="Times New Roman" w:eastAsia="Times New Roman"/>
          <w:b w:val="0"/>
          <w:i w:val="0"/>
          <w:sz w:val="24"/>
        </w:rPr>
        <w:t xml:space="preserve"> (1), 60. https://10.5430/jnep.v8n1p60.</w:t>
      </w:r>
    </w:p>
    <w:p>
      <w:pPr>
        <w:spacing w:before="0" w:after="160" w:line="360" w:lineRule="auto"/>
        <w:ind w:left="720" w:hanging="720"/>
        <w:jc w:val="both"/>
      </w:pPr>
      <w:r>
        <w:rPr>
          <w:rFonts w:ascii="Times New Roman" w:hAnsi="Times New Roman" w:cs="Times New Roman" w:eastAsia="Times New Roman"/>
          <w:b w:val="0"/>
          <w:i w:val="0"/>
          <w:sz w:val="24"/>
        </w:rPr>
        <w:t xml:space="preserve">Alvis-Arrieta, J., Arellano-Cartagena, W. y Muñiz-Olite, J. (2023). Estilos de aprendizaje, género y rendimiento académico en estudiantes del curso Fundamentos de Economía. </w:t>
      </w:r>
      <w:r>
        <w:rPr>
          <w:rFonts w:ascii="Times New Roman" w:hAnsi="Times New Roman" w:cs="Times New Roman" w:eastAsia="Times New Roman"/>
          <w:b w:val="0"/>
          <w:i/>
          <w:sz w:val="24"/>
        </w:rPr>
        <w:t>Revista Electrónica Educare, 27</w:t>
      </w:r>
      <w:r>
        <w:rPr>
          <w:rFonts w:ascii="Times New Roman" w:hAnsi="Times New Roman" w:cs="Times New Roman" w:eastAsia="Times New Roman"/>
          <w:b w:val="0"/>
          <w:i w:val="0"/>
          <w:sz w:val="24"/>
        </w:rPr>
        <w:t xml:space="preserve"> (1), 92-107. https://dx.doi.org/10.15359/ree.27-1.13905</w:t>
      </w:r>
    </w:p>
    <w:p>
      <w:pPr>
        <w:spacing w:before="0" w:after="160" w:line="360" w:lineRule="auto"/>
        <w:ind w:left="720" w:hanging="720"/>
        <w:jc w:val="both"/>
      </w:pPr>
      <w:r>
        <w:rPr>
          <w:rFonts w:ascii="Times New Roman" w:hAnsi="Times New Roman" w:cs="Times New Roman" w:eastAsia="Times New Roman"/>
          <w:b w:val="0"/>
          <w:i w:val="0"/>
          <w:sz w:val="24"/>
        </w:rPr>
        <w:t xml:space="preserve">Andrade, M., Miranda, C. y Freixas, I. (2000). Rendimiento académico y variables modificables en alumnos de 2do medio de Liceos Municipales de la comuna de Santiago. </w:t>
      </w:r>
      <w:r>
        <w:rPr>
          <w:rFonts w:ascii="Times New Roman" w:hAnsi="Times New Roman" w:cs="Times New Roman" w:eastAsia="Times New Roman"/>
          <w:b w:val="0"/>
          <w:i/>
          <w:sz w:val="24"/>
        </w:rPr>
        <w:t>Revista de Psicología Educativa, 6</w:t>
      </w:r>
      <w:r>
        <w:rPr>
          <w:rFonts w:ascii="Times New Roman" w:hAnsi="Times New Roman" w:cs="Times New Roman" w:eastAsia="Times New Roman"/>
          <w:b w:val="0"/>
          <w:i w:val="0"/>
          <w:sz w:val="24"/>
        </w:rPr>
        <w:t xml:space="preserve"> (2), 1-17.</w:t>
      </w:r>
    </w:p>
    <w:p>
      <w:pPr>
        <w:spacing w:before="0" w:after="160" w:line="360" w:lineRule="auto"/>
        <w:ind w:left="720" w:hanging="720"/>
        <w:jc w:val="both"/>
      </w:pPr>
      <w:r>
        <w:rPr>
          <w:rFonts w:ascii="Times New Roman" w:hAnsi="Times New Roman" w:cs="Times New Roman" w:eastAsia="Times New Roman"/>
          <w:b w:val="0"/>
          <w:i w:val="0"/>
          <w:sz w:val="24"/>
        </w:rPr>
        <w:t xml:space="preserve">Antunez, Z. y Vinet, E. (2013). Problemas de salud mental en estudiantes de universidad regional chilena. </w:t>
      </w:r>
      <w:r>
        <w:rPr>
          <w:rFonts w:ascii="Times New Roman" w:hAnsi="Times New Roman" w:cs="Times New Roman" w:eastAsia="Times New Roman"/>
          <w:b w:val="0"/>
          <w:i/>
          <w:sz w:val="24"/>
        </w:rPr>
        <w:t>Revista Médica de Chile, 141</w:t>
      </w:r>
      <w:r>
        <w:rPr>
          <w:rFonts w:ascii="Times New Roman" w:hAnsi="Times New Roman" w:cs="Times New Roman" w:eastAsia="Times New Roman"/>
          <w:b w:val="0"/>
          <w:i w:val="0"/>
          <w:sz w:val="24"/>
        </w:rPr>
        <w:t>, 209-216. http://doi.org/10.4067/S0034-98872013000200010</w:t>
      </w:r>
    </w:p>
    <w:p>
      <w:pPr>
        <w:spacing w:before="0" w:after="160" w:line="360" w:lineRule="auto"/>
        <w:ind w:left="720" w:hanging="720"/>
        <w:jc w:val="both"/>
      </w:pPr>
      <w:r>
        <w:rPr>
          <w:rFonts w:ascii="Times New Roman" w:hAnsi="Times New Roman" w:cs="Times New Roman" w:eastAsia="Times New Roman"/>
          <w:b w:val="0"/>
          <w:i w:val="0"/>
          <w:sz w:val="24"/>
        </w:rPr>
        <w:t xml:space="preserve">Armenta, L. (2019). Desafíos de los estudiantes de nuevo ingreso a la universidad. </w:t>
      </w:r>
      <w:r>
        <w:rPr>
          <w:rFonts w:ascii="Times New Roman" w:hAnsi="Times New Roman" w:cs="Times New Roman" w:eastAsia="Times New Roman"/>
          <w:b w:val="0"/>
          <w:i/>
          <w:sz w:val="24"/>
        </w:rPr>
        <w:t>Revista Inclusiones, 6,</w:t>
      </w:r>
      <w:r>
        <w:rPr>
          <w:rFonts w:ascii="Times New Roman" w:hAnsi="Times New Roman" w:cs="Times New Roman" w:eastAsia="Times New Roman"/>
          <w:b w:val="0"/>
          <w:i w:val="0"/>
          <w:sz w:val="24"/>
        </w:rPr>
        <w:t xml:space="preserve"> 108-120. https://bit.ly/3TuK62j</w:t>
      </w:r>
    </w:p>
    <w:p>
      <w:pPr>
        <w:spacing w:before="0" w:after="160" w:line="360" w:lineRule="auto"/>
        <w:ind w:left="720" w:hanging="720"/>
        <w:jc w:val="both"/>
      </w:pPr>
      <w:r>
        <w:rPr>
          <w:rFonts w:ascii="Times New Roman" w:hAnsi="Times New Roman" w:cs="Times New Roman" w:eastAsia="Times New Roman"/>
          <w:b w:val="0"/>
          <w:i w:val="0"/>
          <w:sz w:val="24"/>
        </w:rPr>
        <w:t xml:space="preserve">Baader, T., Rojas, C., Molina, J., Gotelli, M., Álamo, C., Fierro, C., Venezian S. y Dittus, P. (2014) Diagnostico de la prevalencia de trastornos de la salud mental en estudiantes universitarios y factores de riesgo emocionales asociados. </w:t>
      </w:r>
      <w:r>
        <w:rPr>
          <w:rFonts w:ascii="Times New Roman" w:hAnsi="Times New Roman" w:cs="Times New Roman" w:eastAsia="Times New Roman"/>
          <w:b w:val="0"/>
          <w:i/>
          <w:sz w:val="24"/>
        </w:rPr>
        <w:t>Revista Chilena de Neuro-psiquiatría, 52</w:t>
      </w:r>
      <w:r>
        <w:rPr>
          <w:rFonts w:ascii="Times New Roman" w:hAnsi="Times New Roman" w:cs="Times New Roman" w:eastAsia="Times New Roman"/>
          <w:b w:val="0"/>
          <w:i w:val="0"/>
          <w:sz w:val="24"/>
        </w:rPr>
        <w:t xml:space="preserve"> (523), 167-176. http://doi.org/10.4067/S0717-92272014000300004</w:t>
      </w:r>
    </w:p>
    <w:p>
      <w:pPr>
        <w:spacing w:before="0" w:after="160" w:line="360" w:lineRule="auto"/>
        <w:ind w:left="720" w:hanging="720"/>
        <w:jc w:val="both"/>
      </w:pPr>
      <w:r>
        <w:rPr>
          <w:rFonts w:ascii="Times New Roman" w:hAnsi="Times New Roman" w:cs="Times New Roman" w:eastAsia="Times New Roman"/>
          <w:b w:val="0"/>
          <w:i w:val="0"/>
          <w:sz w:val="24"/>
        </w:rPr>
        <w:t xml:space="preserve">Babatunde. A. y Soykan, E. (2020). Covid-19 pandemic and online learning: the challenges and opportunities. </w:t>
      </w:r>
      <w:r>
        <w:rPr>
          <w:rFonts w:ascii="Times New Roman" w:hAnsi="Times New Roman" w:cs="Times New Roman" w:eastAsia="Times New Roman"/>
          <w:b w:val="0"/>
          <w:i/>
          <w:sz w:val="24"/>
        </w:rPr>
        <w:t>Interactive Learning Environments, 31</w:t>
      </w:r>
      <w:r>
        <w:rPr>
          <w:rFonts w:ascii="Times New Roman" w:hAnsi="Times New Roman" w:cs="Times New Roman" w:eastAsia="Times New Roman"/>
          <w:b w:val="0"/>
          <w:i w:val="0"/>
          <w:sz w:val="24"/>
        </w:rPr>
        <w:t xml:space="preserve"> (2), 863 – 875. https://doi.org/10.1080/10494820.2020.1813180</w:t>
      </w:r>
    </w:p>
    <w:p>
      <w:pPr>
        <w:spacing w:before="0" w:after="160" w:line="360" w:lineRule="auto"/>
        <w:ind w:left="720" w:hanging="720"/>
        <w:jc w:val="both"/>
      </w:pPr>
      <w:r>
        <w:rPr>
          <w:rFonts w:ascii="Times New Roman" w:hAnsi="Times New Roman" w:cs="Times New Roman" w:eastAsia="Times New Roman"/>
          <w:b w:val="0"/>
          <w:i w:val="0"/>
          <w:sz w:val="24"/>
        </w:rPr>
        <w:t xml:space="preserve">Bravo, F., Parra, F. y Silva, M. (2021). Factores de salud percibida y de calidad de vida al inicio de la educación universitaria en Colombia. </w:t>
      </w:r>
      <w:r>
        <w:rPr>
          <w:rFonts w:ascii="Times New Roman" w:hAnsi="Times New Roman" w:cs="Times New Roman" w:eastAsia="Times New Roman"/>
          <w:b w:val="0"/>
          <w:i/>
          <w:sz w:val="24"/>
        </w:rPr>
        <w:t>Acta Colombiana de Psicología, 24</w:t>
      </w:r>
      <w:r>
        <w:rPr>
          <w:rFonts w:ascii="Times New Roman" w:hAnsi="Times New Roman" w:cs="Times New Roman" w:eastAsia="Times New Roman"/>
          <w:b w:val="0"/>
          <w:i w:val="0"/>
          <w:sz w:val="24"/>
        </w:rPr>
        <w:t xml:space="preserve"> (2), 59-68. https://www.doi.org/10.14718/ACP.2021.24.2.6</w:t>
      </w:r>
    </w:p>
    <w:p>
      <w:pPr>
        <w:spacing w:before="0" w:after="160" w:line="360" w:lineRule="auto"/>
        <w:ind w:left="720" w:hanging="720"/>
        <w:jc w:val="both"/>
      </w:pPr>
      <w:r>
        <w:rPr>
          <w:rFonts w:ascii="Times New Roman" w:hAnsi="Times New Roman" w:cs="Times New Roman" w:eastAsia="Times New Roman"/>
          <w:b w:val="0"/>
          <w:i w:val="0"/>
          <w:sz w:val="24"/>
        </w:rPr>
        <w:t xml:space="preserve">Carnell, P., Schwab, M., Sochacka, N. y Hunsu, N. (2020). </w:t>
      </w:r>
      <w:r>
        <w:rPr>
          <w:rFonts w:ascii="Times New Roman" w:hAnsi="Times New Roman" w:cs="Times New Roman" w:eastAsia="Times New Roman"/>
          <w:b w:val="0"/>
          <w:i/>
          <w:sz w:val="24"/>
        </w:rPr>
        <w:t>Performance and perception: A preliminary examination of factors that may motivate students to bounce back.</w:t>
      </w:r>
      <w:r>
        <w:rPr>
          <w:rFonts w:ascii="Times New Roman" w:hAnsi="Times New Roman" w:cs="Times New Roman" w:eastAsia="Times New Roman"/>
          <w:b w:val="0"/>
          <w:i w:val="0"/>
          <w:sz w:val="24"/>
        </w:rPr>
        <w:t xml:space="preserve"> Frontiers in Education Conference (FIE), (pp. 1-4). Uppsala, Swedenç: IEEE. https://par.nsf.gov/servlets/purl/10292825</w:t>
      </w:r>
    </w:p>
    <w:p>
      <w:pPr>
        <w:spacing w:before="0" w:after="160" w:line="360" w:lineRule="auto"/>
        <w:ind w:left="720" w:hanging="720"/>
        <w:jc w:val="both"/>
      </w:pPr>
      <w:r>
        <w:rPr>
          <w:rFonts w:ascii="Times New Roman" w:hAnsi="Times New Roman" w:cs="Times New Roman" w:eastAsia="Times New Roman"/>
          <w:b w:val="0"/>
          <w:i w:val="0"/>
          <w:sz w:val="24"/>
        </w:rPr>
        <w:t xml:space="preserve">Farruggia, S. P., Han, C. W., Watson, L., Moss, T. P. y Bottoms, B. L. (2018). Noncognitive factors and college student success. Journal of College Student Retention. </w:t>
      </w:r>
      <w:r>
        <w:rPr>
          <w:rFonts w:ascii="Times New Roman" w:hAnsi="Times New Roman" w:cs="Times New Roman" w:eastAsia="Times New Roman"/>
          <w:b w:val="0"/>
          <w:i/>
          <w:sz w:val="24"/>
        </w:rPr>
        <w:t>Research, Theory &amp; Practice, 20</w:t>
      </w:r>
      <w:r>
        <w:rPr>
          <w:rFonts w:ascii="Times New Roman" w:hAnsi="Times New Roman" w:cs="Times New Roman" w:eastAsia="Times New Roman"/>
          <w:b w:val="0"/>
          <w:i w:val="0"/>
          <w:sz w:val="24"/>
        </w:rPr>
        <w:t xml:space="preserve"> (3), 308-327. https://doi.org/10.1177/1521025116666539</w:t>
      </w:r>
    </w:p>
    <w:p>
      <w:pPr>
        <w:spacing w:before="0" w:after="160" w:line="360" w:lineRule="auto"/>
        <w:ind w:left="720" w:hanging="720"/>
        <w:jc w:val="both"/>
      </w:pPr>
      <w:r>
        <w:rPr>
          <w:rFonts w:ascii="Times New Roman" w:hAnsi="Times New Roman" w:cs="Times New Roman" w:eastAsia="Times New Roman"/>
          <w:b w:val="0"/>
          <w:i w:val="0"/>
          <w:sz w:val="24"/>
        </w:rPr>
        <w:t xml:space="preserve">García, L. y Moreno, V. (2017). Factores asociados al rendimiento académico de los estudiantes de odontología en la clínica de crecimiento y desarrollo. </w:t>
      </w:r>
      <w:r>
        <w:rPr>
          <w:rFonts w:ascii="Times New Roman" w:hAnsi="Times New Roman" w:cs="Times New Roman" w:eastAsia="Times New Roman"/>
          <w:b w:val="0"/>
          <w:i/>
          <w:sz w:val="24"/>
        </w:rPr>
        <w:t>Acta Odontológica Colombiana, 7</w:t>
      </w:r>
      <w:r>
        <w:rPr>
          <w:rFonts w:ascii="Times New Roman" w:hAnsi="Times New Roman" w:cs="Times New Roman" w:eastAsia="Times New Roman"/>
          <w:b w:val="0"/>
          <w:i w:val="0"/>
          <w:sz w:val="24"/>
        </w:rPr>
        <w:t xml:space="preserve"> (1), 81-89. https://bit.ly/4dhm4yB</w:t>
      </w:r>
    </w:p>
    <w:p>
      <w:pPr>
        <w:spacing w:before="0" w:after="160" w:line="360" w:lineRule="auto"/>
        <w:ind w:left="720" w:hanging="720"/>
        <w:jc w:val="both"/>
      </w:pPr>
      <w:r>
        <w:rPr>
          <w:rFonts w:ascii="Times New Roman" w:hAnsi="Times New Roman" w:cs="Times New Roman" w:eastAsia="Times New Roman"/>
          <w:b w:val="0"/>
          <w:i w:val="0"/>
          <w:sz w:val="24"/>
        </w:rPr>
        <w:t xml:space="preserve">García, R., Pérez, F., Pérez, J. y Natividad, L. (2012). Evaluación del estrés en estudiantes de nueva incorporación a la universidad. </w:t>
      </w:r>
      <w:r>
        <w:rPr>
          <w:rFonts w:ascii="Times New Roman" w:hAnsi="Times New Roman" w:cs="Times New Roman" w:eastAsia="Times New Roman"/>
          <w:b w:val="0"/>
          <w:i/>
          <w:sz w:val="24"/>
        </w:rPr>
        <w:t>Revista Latinoamericana de Psicología</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44</w:t>
      </w:r>
      <w:r>
        <w:rPr>
          <w:rFonts w:ascii="Times New Roman" w:hAnsi="Times New Roman" w:cs="Times New Roman" w:eastAsia="Times New Roman"/>
          <w:b w:val="0"/>
          <w:i w:val="0"/>
          <w:sz w:val="24"/>
        </w:rPr>
        <w:t xml:space="preserve"> (2), 143- 154. https://www.redalyc.org/pdf/805/80524058011.pdf González-Zabala, M. P., Galvis-Lista, E. A. y Angulo-Cuentas, G. L. 2017. Análisis de indicadores de Ciencia, Tecnología e Innovación (CTI) propuestos por Instituciones de Educación Superior Latinoamericanas. </w:t>
      </w:r>
      <w:r>
        <w:rPr>
          <w:rFonts w:ascii="Times New Roman" w:hAnsi="Times New Roman" w:cs="Times New Roman" w:eastAsia="Times New Roman"/>
          <w:b w:val="0"/>
          <w:i/>
          <w:sz w:val="24"/>
        </w:rPr>
        <w:t>Espacios, 38</w:t>
      </w:r>
      <w:r>
        <w:rPr>
          <w:rFonts w:ascii="Times New Roman" w:hAnsi="Times New Roman" w:cs="Times New Roman" w:eastAsia="Times New Roman"/>
          <w:b w:val="0"/>
          <w:i w:val="0"/>
          <w:sz w:val="24"/>
        </w:rPr>
        <w:t xml:space="preserve"> (60), 5. https://bit.ly/3F1dpRf</w:t>
      </w:r>
    </w:p>
    <w:p>
      <w:pPr>
        <w:spacing w:before="0" w:after="160" w:line="360" w:lineRule="auto"/>
        <w:ind w:left="720" w:hanging="720"/>
        <w:jc w:val="both"/>
      </w:pPr>
      <w:r>
        <w:rPr>
          <w:rFonts w:ascii="Times New Roman" w:hAnsi="Times New Roman" w:cs="Times New Roman" w:eastAsia="Times New Roman"/>
          <w:b w:val="0"/>
          <w:i w:val="0"/>
          <w:sz w:val="24"/>
        </w:rPr>
        <w:t xml:space="preserve">Grasso, P. (2020). Rendimiento académico: un recorrido conceptual que aproxima a una definición unificada para el ámbito superior. </w:t>
      </w:r>
      <w:r>
        <w:rPr>
          <w:rFonts w:ascii="Times New Roman" w:hAnsi="Times New Roman" w:cs="Times New Roman" w:eastAsia="Times New Roman"/>
          <w:b w:val="0"/>
          <w:i/>
          <w:sz w:val="24"/>
        </w:rPr>
        <w:t>Revista de Educación,</w:t>
      </w:r>
      <w:r>
        <w:rPr>
          <w:rFonts w:ascii="Times New Roman" w:hAnsi="Times New Roman" w:cs="Times New Roman" w:eastAsia="Times New Roman"/>
          <w:b w:val="0"/>
          <w:i w:val="0"/>
          <w:sz w:val="24"/>
        </w:rPr>
        <w:t xml:space="preserve"> 20, 89-104. https://fh.mdp.edu.ar/revistas/index.php/r_educ/article/view/4165/4128</w:t>
      </w:r>
    </w:p>
    <w:p>
      <w:pPr>
        <w:spacing w:before="0" w:after="160" w:line="360" w:lineRule="auto"/>
        <w:ind w:left="720" w:hanging="720"/>
        <w:jc w:val="both"/>
      </w:pPr>
      <w:r>
        <w:rPr>
          <w:rFonts w:ascii="Times New Roman" w:hAnsi="Times New Roman" w:cs="Times New Roman" w:eastAsia="Times New Roman"/>
          <w:b w:val="0"/>
          <w:i w:val="0"/>
          <w:sz w:val="24"/>
        </w:rPr>
        <w:t xml:space="preserve">Gutiérrez, J.A., Garzón, J., Gonzáñes, D. y Segura, A. (2023). Factores asociados al rendimiento académico en ingeniería: un estudio correlacional descriptivo. </w:t>
      </w:r>
      <w:r>
        <w:rPr>
          <w:rFonts w:ascii="Times New Roman" w:hAnsi="Times New Roman" w:cs="Times New Roman" w:eastAsia="Times New Roman"/>
          <w:b w:val="0"/>
          <w:i/>
          <w:sz w:val="24"/>
        </w:rPr>
        <w:t>DYNA (Colombia), 9</w:t>
      </w:r>
      <w:r>
        <w:rPr>
          <w:rFonts w:ascii="Times New Roman" w:hAnsi="Times New Roman" w:cs="Times New Roman" w:eastAsia="Times New Roman"/>
          <w:b w:val="0"/>
          <w:i w:val="0"/>
          <w:sz w:val="24"/>
        </w:rPr>
        <w:t xml:space="preserve"> 0(227), 35-44. https://doi.org/10.15446/dyna.v90n227.107150</w:t>
      </w:r>
    </w:p>
    <w:p>
      <w:pPr>
        <w:spacing w:before="0" w:after="160" w:line="360" w:lineRule="auto"/>
        <w:ind w:left="720" w:hanging="720"/>
        <w:jc w:val="both"/>
      </w:pPr>
      <w:r>
        <w:rPr>
          <w:rFonts w:ascii="Times New Roman" w:hAnsi="Times New Roman" w:cs="Times New Roman" w:eastAsia="Times New Roman"/>
          <w:b w:val="0"/>
          <w:i w:val="0"/>
          <w:sz w:val="24"/>
        </w:rPr>
        <w:t xml:space="preserve">Jiménez-Boraita, R., Dalmau-Torres, J., Gargallo-Ibort, E. y Arriscado-Alsina, D. (2024). Factores asociados al rendimiento académico de los adolescentes de La Rioja (España): hábitos de vida, indicadores de salud y factores sociodemográficos. </w:t>
      </w:r>
      <w:r>
        <w:rPr>
          <w:rFonts w:ascii="Times New Roman" w:hAnsi="Times New Roman" w:cs="Times New Roman" w:eastAsia="Times New Roman"/>
          <w:b w:val="0"/>
          <w:i/>
          <w:sz w:val="24"/>
        </w:rPr>
        <w:t>Nutrición Hospitalaria, 41</w:t>
      </w:r>
      <w:r>
        <w:rPr>
          <w:rFonts w:ascii="Times New Roman" w:hAnsi="Times New Roman" w:cs="Times New Roman" w:eastAsia="Times New Roman"/>
          <w:b w:val="0"/>
          <w:i w:val="0"/>
          <w:sz w:val="24"/>
        </w:rPr>
        <w:t xml:space="preserve"> (1), 19-27. https://dx.doi.org/10.20960/nh.04599</w:t>
      </w:r>
    </w:p>
    <w:p>
      <w:pPr>
        <w:spacing w:before="0" w:after="160" w:line="360" w:lineRule="auto"/>
        <w:ind w:left="720" w:hanging="720"/>
        <w:jc w:val="both"/>
      </w:pPr>
      <w:r>
        <w:rPr>
          <w:rFonts w:ascii="Times New Roman" w:hAnsi="Times New Roman" w:cs="Times New Roman" w:eastAsia="Times New Roman"/>
          <w:b w:val="0"/>
          <w:i w:val="0"/>
          <w:sz w:val="24"/>
        </w:rPr>
        <w:t xml:space="preserve">Jiménez-Puig, E., Broche-Pérez, Y., Hernández-Caro, A. y Díaz-Falcón, D. (2019). Funciones ejecutivas, cronotipo y rendimiento académico en estudiantes universitarios. </w:t>
      </w:r>
      <w:r>
        <w:rPr>
          <w:rFonts w:ascii="Times New Roman" w:hAnsi="Times New Roman" w:cs="Times New Roman" w:eastAsia="Times New Roman"/>
          <w:b w:val="0"/>
          <w:i/>
          <w:sz w:val="24"/>
        </w:rPr>
        <w:t>Rev. Cubana Edu. Superior, 38</w:t>
      </w:r>
      <w:r>
        <w:rPr>
          <w:rFonts w:ascii="Times New Roman" w:hAnsi="Times New Roman" w:cs="Times New Roman" w:eastAsia="Times New Roman"/>
          <w:b w:val="0"/>
          <w:i w:val="0"/>
          <w:sz w:val="24"/>
        </w:rPr>
        <w:t xml:space="preserve"> (2). https://bit.ly/4gsnMjD</w:t>
      </w:r>
    </w:p>
    <w:p>
      <w:pPr>
        <w:spacing w:before="0" w:after="160" w:line="360" w:lineRule="auto"/>
        <w:ind w:left="720" w:hanging="720"/>
        <w:jc w:val="both"/>
      </w:pPr>
      <w:r>
        <w:rPr>
          <w:rFonts w:ascii="Times New Roman" w:hAnsi="Times New Roman" w:cs="Times New Roman" w:eastAsia="Times New Roman"/>
          <w:b w:val="0"/>
          <w:i w:val="0"/>
          <w:sz w:val="24"/>
        </w:rPr>
        <w:t xml:space="preserve">Karadağ, E., Bektaş, F., Çoğaltay, N. y Yalçın, M. (2015). The effect of educational leadership on students’ achievement: a meta-analysis study. </w:t>
      </w:r>
      <w:r>
        <w:rPr>
          <w:rFonts w:ascii="Times New Roman" w:hAnsi="Times New Roman" w:cs="Times New Roman" w:eastAsia="Times New Roman"/>
          <w:b w:val="0"/>
          <w:i/>
          <w:sz w:val="24"/>
        </w:rPr>
        <w:t>Asia Pacific Education Review, 16</w:t>
      </w:r>
      <w:r>
        <w:rPr>
          <w:rFonts w:ascii="Times New Roman" w:hAnsi="Times New Roman" w:cs="Times New Roman" w:eastAsia="Times New Roman"/>
          <w:b w:val="0"/>
          <w:i w:val="0"/>
          <w:sz w:val="24"/>
        </w:rPr>
        <w:t>. https://www.researchgate.net/publication/272389246</w:t>
      </w:r>
    </w:p>
    <w:p>
      <w:pPr>
        <w:spacing w:before="0" w:after="160" w:line="360" w:lineRule="auto"/>
        <w:ind w:left="720" w:hanging="720"/>
        <w:jc w:val="both"/>
      </w:pPr>
      <w:r>
        <w:rPr>
          <w:rFonts w:ascii="Times New Roman" w:hAnsi="Times New Roman" w:cs="Times New Roman" w:eastAsia="Times New Roman"/>
          <w:b w:val="0"/>
          <w:i w:val="0"/>
          <w:sz w:val="24"/>
        </w:rPr>
        <w:t xml:space="preserve">Mello-Román, J. D. y Gómez-Chacón, I. M. (2022). Creencias y rendimiento académico en matemáticas en el ingreso a carreras de ingeniería. </w:t>
      </w:r>
      <w:r>
        <w:rPr>
          <w:rFonts w:ascii="Times New Roman" w:hAnsi="Times New Roman" w:cs="Times New Roman" w:eastAsia="Times New Roman"/>
          <w:b w:val="0"/>
          <w:i/>
          <w:sz w:val="24"/>
        </w:rPr>
        <w:t>Aula abierta, 51</w:t>
      </w:r>
      <w:r>
        <w:rPr>
          <w:rFonts w:ascii="Times New Roman" w:hAnsi="Times New Roman" w:cs="Times New Roman" w:eastAsia="Times New Roman"/>
          <w:b w:val="0"/>
          <w:i w:val="0"/>
          <w:sz w:val="24"/>
        </w:rPr>
        <w:t xml:space="preserve"> (4), 407-415. https://doi.org/10.17811/rifie.51.4.2022.407-415</w:t>
      </w:r>
    </w:p>
    <w:p>
      <w:pPr>
        <w:spacing w:before="0" w:after="160" w:line="360" w:lineRule="auto"/>
        <w:ind w:left="720" w:hanging="720"/>
        <w:jc w:val="both"/>
      </w:pPr>
      <w:r>
        <w:rPr>
          <w:rFonts w:ascii="Times New Roman" w:hAnsi="Times New Roman" w:cs="Times New Roman" w:eastAsia="Times New Roman"/>
          <w:b w:val="0"/>
          <w:i w:val="0"/>
          <w:sz w:val="24"/>
        </w:rPr>
        <w:t xml:space="preserve">Mizala A., Romaguera P. y Reinaga T. (1999). </w:t>
      </w:r>
      <w:r>
        <w:rPr>
          <w:rFonts w:ascii="Times New Roman" w:hAnsi="Times New Roman" w:cs="Times New Roman" w:eastAsia="Times New Roman"/>
          <w:b w:val="0"/>
          <w:i/>
          <w:sz w:val="24"/>
        </w:rPr>
        <w:t>Factores que inciden en rendimiento escolar en Bolivia.</w:t>
      </w:r>
      <w:r>
        <w:rPr>
          <w:rFonts w:ascii="Times New Roman" w:hAnsi="Times New Roman" w:cs="Times New Roman" w:eastAsia="Times New Roman"/>
          <w:b w:val="0"/>
          <w:i w:val="0"/>
          <w:sz w:val="24"/>
        </w:rPr>
        <w:t xml:space="preserve"> Centro de Economía Aplicada, Universidad de Chile. https://bit.ly/3ZNeTvl</w:t>
      </w:r>
    </w:p>
    <w:p>
      <w:pPr>
        <w:spacing w:before="0" w:after="160" w:line="360" w:lineRule="auto"/>
        <w:ind w:left="720" w:hanging="720"/>
        <w:jc w:val="both"/>
      </w:pPr>
      <w:r>
        <w:rPr>
          <w:rFonts w:ascii="Times New Roman" w:hAnsi="Times New Roman" w:cs="Times New Roman" w:eastAsia="Times New Roman"/>
          <w:b w:val="0"/>
          <w:i w:val="0"/>
          <w:sz w:val="24"/>
        </w:rPr>
        <w:t xml:space="preserve">Monroy-Varela, S. E., Gallego-Vega, L. E., Amórtegui-Gil, F. J., Vega-Herrera, J. M. y Díaz-Morales, H. (2022). Impact of the COVID 19 pandemic on the student's academic performance at the School of Engineering-Universidad Nacional de Colombia, Bogotá Campus. </w:t>
      </w:r>
      <w:r>
        <w:rPr>
          <w:rFonts w:ascii="Times New Roman" w:hAnsi="Times New Roman" w:cs="Times New Roman" w:eastAsia="Times New Roman"/>
          <w:b w:val="0"/>
          <w:i/>
          <w:sz w:val="24"/>
        </w:rPr>
        <w:t>Dyna, 89</w:t>
      </w:r>
      <w:r>
        <w:rPr>
          <w:rFonts w:ascii="Times New Roman" w:hAnsi="Times New Roman" w:cs="Times New Roman" w:eastAsia="Times New Roman"/>
          <w:b w:val="0"/>
          <w:i w:val="0"/>
          <w:sz w:val="24"/>
        </w:rPr>
        <w:t xml:space="preserve"> (222), 38-47. https://doi.org/10.15446/dyna.v89n221.101308</w:t>
      </w:r>
    </w:p>
    <w:p>
      <w:pPr>
        <w:spacing w:before="0" w:after="160" w:line="360" w:lineRule="auto"/>
        <w:ind w:left="720" w:hanging="720"/>
        <w:jc w:val="both"/>
      </w:pPr>
      <w:r>
        <w:rPr>
          <w:rFonts w:ascii="Times New Roman" w:hAnsi="Times New Roman" w:cs="Times New Roman" w:eastAsia="Times New Roman"/>
          <w:b w:val="0"/>
          <w:i w:val="0"/>
          <w:sz w:val="24"/>
        </w:rPr>
        <w:t xml:space="preserve">Montenegro, J., Alvites, M., Espinoza, K. y Ninaquispe, M. (2023). Technological Gap and Academic Performance in Times of the Covid-19 Pandemic: Systematic </w:t>
      </w:r>
      <w:r>
        <w:rPr>
          <w:rFonts w:ascii="Times New Roman" w:hAnsi="Times New Roman" w:cs="Times New Roman" w:eastAsia="Times New Roman"/>
          <w:b w:val="0"/>
          <w:i/>
          <w:sz w:val="24"/>
        </w:rPr>
        <w:t>Review. LACCEI, 1</w:t>
      </w:r>
      <w:r>
        <w:rPr>
          <w:rFonts w:ascii="Times New Roman" w:hAnsi="Times New Roman" w:cs="Times New Roman" w:eastAsia="Times New Roman"/>
          <w:b w:val="0"/>
          <w:i w:val="0"/>
          <w:sz w:val="24"/>
        </w:rPr>
        <w:t xml:space="preserve"> (8). https://doi.org/10.18687/LACCEI2023.1.1.286</w:t>
      </w:r>
    </w:p>
    <w:p>
      <w:pPr>
        <w:spacing w:before="0" w:after="160" w:line="360" w:lineRule="auto"/>
        <w:ind w:left="720" w:hanging="720"/>
        <w:jc w:val="both"/>
      </w:pPr>
      <w:r>
        <w:rPr>
          <w:rFonts w:ascii="Times New Roman" w:hAnsi="Times New Roman" w:cs="Times New Roman" w:eastAsia="Times New Roman"/>
          <w:b w:val="0"/>
          <w:i w:val="0"/>
          <w:sz w:val="24"/>
        </w:rPr>
        <w:t xml:space="preserve">Orosco, F., Huaytalla, R. P. y Cortez, E. E. T. (2020). Uso del smartphone en estudiantes universitarios de la región central del Perú. </w:t>
      </w:r>
      <w:r>
        <w:rPr>
          <w:rFonts w:ascii="Times New Roman" w:hAnsi="Times New Roman" w:cs="Times New Roman" w:eastAsia="Times New Roman"/>
          <w:b w:val="0"/>
          <w:i/>
          <w:sz w:val="24"/>
        </w:rPr>
        <w:t>IE Revista de Investigación Educativa de la RE- DIECH, 11</w:t>
      </w:r>
      <w:r>
        <w:rPr>
          <w:rFonts w:ascii="Times New Roman" w:hAnsi="Times New Roman" w:cs="Times New Roman" w:eastAsia="Times New Roman"/>
          <w:b w:val="0"/>
          <w:i w:val="0"/>
          <w:sz w:val="24"/>
        </w:rPr>
        <w:t>, 769. https://doi.org/10.33010/ie_rie_rediech.v11i0.769</w:t>
      </w:r>
    </w:p>
    <w:p>
      <w:pPr>
        <w:spacing w:before="0" w:after="160" w:line="360" w:lineRule="auto"/>
        <w:ind w:left="720" w:hanging="720"/>
        <w:jc w:val="both"/>
      </w:pPr>
      <w:r>
        <w:rPr>
          <w:rFonts w:ascii="Times New Roman" w:hAnsi="Times New Roman" w:cs="Times New Roman" w:eastAsia="Times New Roman"/>
          <w:b w:val="0"/>
          <w:i w:val="0"/>
          <w:sz w:val="24"/>
        </w:rPr>
        <w:t xml:space="preserve">Pozos, B., Preciado, M., Plascencia, A., Acosta, M. y Aguilera, M. (2015). Estrés académico y síntomas físicos, psicológicos y comportamentales en estudiantes mexicano de una universidad pública. </w:t>
      </w:r>
      <w:r>
        <w:rPr>
          <w:rFonts w:ascii="Times New Roman" w:hAnsi="Times New Roman" w:cs="Times New Roman" w:eastAsia="Times New Roman"/>
          <w:b w:val="0"/>
          <w:i/>
          <w:sz w:val="24"/>
        </w:rPr>
        <w:t>Ansiedad y estrés, 21</w:t>
      </w:r>
      <w:r>
        <w:rPr>
          <w:rFonts w:ascii="Times New Roman" w:hAnsi="Times New Roman" w:cs="Times New Roman" w:eastAsia="Times New Roman"/>
          <w:b w:val="0"/>
          <w:i w:val="0"/>
          <w:sz w:val="24"/>
        </w:rPr>
        <w:t xml:space="preserve"> (1), 35-42. https://www.ansiedadyestres.es/summary/21_tab</w:t>
      </w:r>
    </w:p>
    <w:p>
      <w:pPr>
        <w:spacing w:before="0" w:after="160" w:line="360" w:lineRule="auto"/>
        <w:ind w:left="720" w:hanging="720"/>
        <w:jc w:val="both"/>
      </w:pPr>
      <w:r>
        <w:rPr>
          <w:rFonts w:ascii="Times New Roman" w:hAnsi="Times New Roman" w:cs="Times New Roman" w:eastAsia="Times New Roman"/>
          <w:b w:val="0"/>
          <w:i w:val="0"/>
          <w:sz w:val="24"/>
        </w:rPr>
        <w:t xml:space="preserve">Preciado-Serrano, M., Ángel-González, M., Colunga-Rodríguez, C., Vázquez-Colunga, J., Esparza-Zamora, M., Vázquez-Juárez, C. y Obando-Changuán, M. (2021). Construcción y Validación de la Escala RAU de Rendimiento Académico Universitario. </w:t>
      </w:r>
      <w:r>
        <w:rPr>
          <w:rFonts w:ascii="Times New Roman" w:hAnsi="Times New Roman" w:cs="Times New Roman" w:eastAsia="Times New Roman"/>
          <w:b w:val="0"/>
          <w:i/>
          <w:sz w:val="24"/>
        </w:rPr>
        <w:t>Revista Iberoamericana de Diagnóstico y Evaluación Psicológica, 3</w:t>
      </w:r>
      <w:r>
        <w:rPr>
          <w:rFonts w:ascii="Times New Roman" w:hAnsi="Times New Roman" w:cs="Times New Roman" w:eastAsia="Times New Roman"/>
          <w:b w:val="0"/>
          <w:i w:val="0"/>
          <w:sz w:val="24"/>
        </w:rPr>
        <w:t>, 60, 5-14, https://www.redalyc.org/journal/4596/459669143002/html/</w:t>
      </w:r>
    </w:p>
    <w:p>
      <w:pPr>
        <w:spacing w:before="0" w:after="160" w:line="360" w:lineRule="auto"/>
        <w:ind w:left="720" w:hanging="720"/>
        <w:jc w:val="both"/>
      </w:pPr>
      <w:r>
        <w:rPr>
          <w:rFonts w:ascii="Times New Roman" w:hAnsi="Times New Roman" w:cs="Times New Roman" w:eastAsia="Times New Roman"/>
          <w:b w:val="0"/>
          <w:i w:val="0"/>
          <w:sz w:val="24"/>
        </w:rPr>
        <w:t xml:space="preserve">Real-Delor, R., Guevara, A., Morales, I., Chibas, E., Cañete, E., Carballo, M., Flor, D., Noldin, A., Pereira, V., Sanabria, N., Alvarenga, M., Ríos, M., Zaracho, A. y González, G. (2024). Factores asociados al rendimiento académico en estudiantes universitarios de Latinoamérica en 2023. </w:t>
      </w:r>
      <w:r>
        <w:rPr>
          <w:rFonts w:ascii="Times New Roman" w:hAnsi="Times New Roman" w:cs="Times New Roman" w:eastAsia="Times New Roman"/>
          <w:b w:val="0"/>
          <w:i/>
          <w:sz w:val="24"/>
        </w:rPr>
        <w:t>Investigación En Educación Médica, 13</w:t>
      </w:r>
      <w:r>
        <w:rPr>
          <w:rFonts w:ascii="Times New Roman" w:hAnsi="Times New Roman" w:cs="Times New Roman" w:eastAsia="Times New Roman"/>
          <w:b w:val="0"/>
          <w:i w:val="0"/>
          <w:sz w:val="24"/>
        </w:rPr>
        <w:t xml:space="preserve"> (51), 42-52. https://doi.org/10.22201/fm.20075057e.2024.51.23580</w:t>
      </w:r>
    </w:p>
    <w:p>
      <w:pPr>
        <w:spacing w:before="0" w:after="160" w:line="360" w:lineRule="auto"/>
        <w:ind w:left="720" w:hanging="720"/>
        <w:jc w:val="both"/>
      </w:pPr>
      <w:r>
        <w:rPr>
          <w:rFonts w:ascii="Times New Roman" w:hAnsi="Times New Roman" w:cs="Times New Roman" w:eastAsia="Times New Roman"/>
          <w:b w:val="0"/>
          <w:i w:val="0"/>
          <w:sz w:val="24"/>
        </w:rPr>
        <w:t xml:space="preserve">Real-Delor, R., Guevara, A., Morales, I., Chibas, E., Cañete, E., Carballo, M., Dalba, F., Noldin, A., Pereira, V., Sanabria, N., Alvarenga, M., Ríos, M., Zaracho, A. y González, G. (2024). Factores asociados al rendimiento académico en estudiantes universitarios de Latinoamérica en 2023. </w:t>
      </w:r>
      <w:r>
        <w:rPr>
          <w:rFonts w:ascii="Times New Roman" w:hAnsi="Times New Roman" w:cs="Times New Roman" w:eastAsia="Times New Roman"/>
          <w:b w:val="0"/>
          <w:i/>
          <w:sz w:val="24"/>
        </w:rPr>
        <w:t>Investigación educ. médica, 13</w:t>
      </w:r>
      <w:r>
        <w:rPr>
          <w:rFonts w:ascii="Times New Roman" w:hAnsi="Times New Roman" w:cs="Times New Roman" w:eastAsia="Times New Roman"/>
          <w:b w:val="0"/>
          <w:i w:val="0"/>
          <w:sz w:val="24"/>
        </w:rPr>
        <w:t xml:space="preserve"> (51). https://doi.org/10.22201/fm.20075057e.2024.51.23580</w:t>
      </w:r>
    </w:p>
    <w:p>
      <w:pPr>
        <w:spacing w:before="0" w:after="160" w:line="360" w:lineRule="auto"/>
        <w:ind w:left="720" w:hanging="720"/>
        <w:jc w:val="both"/>
      </w:pPr>
      <w:r>
        <w:rPr>
          <w:rFonts w:ascii="Times New Roman" w:hAnsi="Times New Roman" w:cs="Times New Roman" w:eastAsia="Times New Roman"/>
          <w:b w:val="0"/>
          <w:i w:val="0"/>
          <w:sz w:val="24"/>
        </w:rPr>
        <w:t xml:space="preserve">Shengxiang, Q., Zhenzhen, Q., Na, W. Lap T., Huifen, Q. y Fei, X. (2020). Asociación del rendimiento académico y la salud general con la calidad de vida relacionada con la salud en estudiantes de primaria y secundaria en China. </w:t>
      </w:r>
      <w:r>
        <w:rPr>
          <w:rFonts w:ascii="Times New Roman" w:hAnsi="Times New Roman" w:cs="Times New Roman" w:eastAsia="Times New Roman"/>
          <w:b w:val="0"/>
          <w:i/>
          <w:sz w:val="24"/>
        </w:rPr>
        <w:t>Health Qual Life Outcomes 18</w:t>
      </w:r>
      <w:r>
        <w:rPr>
          <w:rFonts w:ascii="Times New Roman" w:hAnsi="Times New Roman" w:cs="Times New Roman" w:eastAsia="Times New Roman"/>
          <w:b w:val="0"/>
          <w:i w:val="0"/>
          <w:sz w:val="24"/>
        </w:rPr>
        <w:t>, 339. https://doi.org/10.1186/s12955-020-01590-y</w:t>
      </w:r>
    </w:p>
    <w:p>
      <w:pPr>
        <w:spacing w:before="0" w:after="160" w:line="360" w:lineRule="auto"/>
        <w:ind w:left="720" w:hanging="720"/>
        <w:jc w:val="both"/>
      </w:pPr>
      <w:r>
        <w:rPr>
          <w:rFonts w:ascii="Times New Roman" w:hAnsi="Times New Roman" w:cs="Times New Roman" w:eastAsia="Times New Roman"/>
          <w:b w:val="0"/>
          <w:i w:val="0"/>
          <w:sz w:val="24"/>
        </w:rPr>
        <w:t xml:space="preserve">Sousa, V., Driessnack, M. y Costa, I. (2007). Revisión de diseños de investigación resaltantes para enfermería. Parte 1: diseños de investigación cuantitativa. </w:t>
      </w:r>
      <w:r>
        <w:rPr>
          <w:rFonts w:ascii="Times New Roman" w:hAnsi="Times New Roman" w:cs="Times New Roman" w:eastAsia="Times New Roman"/>
          <w:b w:val="0"/>
          <w:i/>
          <w:sz w:val="24"/>
        </w:rPr>
        <w:t>Rev. Latino-Am. Enfermagem, 15</w:t>
      </w:r>
      <w:r>
        <w:rPr>
          <w:rFonts w:ascii="Times New Roman" w:hAnsi="Times New Roman" w:cs="Times New Roman" w:eastAsia="Times New Roman"/>
          <w:b w:val="0"/>
          <w:i w:val="0"/>
          <w:sz w:val="24"/>
        </w:rPr>
        <w:t xml:space="preserve"> (3). https://doi.org/10.1590/S0104-11692007000300022</w:t>
      </w:r>
    </w:p>
    <w:p>
      <w:pPr>
        <w:spacing w:before="0" w:after="160" w:line="360" w:lineRule="auto"/>
        <w:ind w:left="720" w:hanging="720"/>
        <w:jc w:val="both"/>
      </w:pPr>
      <w:r>
        <w:rPr>
          <w:rFonts w:ascii="Times New Roman" w:hAnsi="Times New Roman" w:cs="Times New Roman" w:eastAsia="Times New Roman"/>
          <w:b w:val="0"/>
          <w:i w:val="0"/>
          <w:sz w:val="24"/>
        </w:rPr>
        <w:t xml:space="preserve">Soza, S. (2021). Factores asociados a la calidad del rendimiento académico de estudiantes en la educación superior. </w:t>
      </w:r>
      <w:r>
        <w:rPr>
          <w:rFonts w:ascii="Times New Roman" w:hAnsi="Times New Roman" w:cs="Times New Roman" w:eastAsia="Times New Roman"/>
          <w:b w:val="0"/>
          <w:i/>
          <w:sz w:val="24"/>
        </w:rPr>
        <w:t>RCSEM, 3</w:t>
      </w:r>
      <w:r>
        <w:rPr>
          <w:rFonts w:ascii="Times New Roman" w:hAnsi="Times New Roman" w:cs="Times New Roman" w:eastAsia="Times New Roman"/>
          <w:b w:val="0"/>
          <w:i w:val="0"/>
          <w:sz w:val="24"/>
        </w:rPr>
        <w:t xml:space="preserve"> (3). https://revistasnicaragua.cnu.edu.ni/index.php/rcsem/article/view/7374</w:t>
      </w:r>
    </w:p>
    <w:p>
      <w:pPr>
        <w:spacing w:before="0" w:after="160" w:line="360" w:lineRule="auto"/>
        <w:ind w:left="720" w:hanging="720"/>
        <w:jc w:val="both"/>
      </w:pPr>
      <w:r>
        <w:rPr>
          <w:rFonts w:ascii="Times New Roman" w:hAnsi="Times New Roman" w:cs="Times New Roman" w:eastAsia="Times New Roman"/>
          <w:b w:val="0"/>
          <w:i w:val="0"/>
          <w:sz w:val="24"/>
        </w:rPr>
        <w:t xml:space="preserve">Talib, N. &amp; Zia-ur-Rehman, M. (2012). Academic performance and perceived stress among university students. </w:t>
      </w:r>
      <w:r>
        <w:rPr>
          <w:rFonts w:ascii="Times New Roman" w:hAnsi="Times New Roman" w:cs="Times New Roman" w:eastAsia="Times New Roman"/>
          <w:b w:val="0"/>
          <w:i/>
          <w:sz w:val="24"/>
        </w:rPr>
        <w:t>Educational Research Review, 7</w:t>
      </w:r>
      <w:r>
        <w:rPr>
          <w:rFonts w:ascii="Times New Roman" w:hAnsi="Times New Roman" w:cs="Times New Roman" w:eastAsia="Times New Roman"/>
          <w:b w:val="0"/>
          <w:i w:val="0"/>
          <w:sz w:val="24"/>
        </w:rPr>
        <w:t>, 127-132. https://doi.org/10.5897/ERR10.192.</w:t>
      </w:r>
    </w:p>
    <w:p>
      <w:pPr>
        <w:spacing w:before="0" w:after="160" w:line="360" w:lineRule="auto"/>
        <w:ind w:left="720" w:hanging="720"/>
        <w:jc w:val="both"/>
      </w:pPr>
      <w:r>
        <w:rPr>
          <w:rFonts w:ascii="Times New Roman" w:hAnsi="Times New Roman" w:cs="Times New Roman" w:eastAsia="Times New Roman"/>
          <w:b w:val="0"/>
          <w:i w:val="0"/>
          <w:sz w:val="24"/>
        </w:rPr>
        <w:t xml:space="preserve">Tilley, D. (2008). Competency in nursing: A concept análisis. </w:t>
      </w:r>
      <w:r>
        <w:rPr>
          <w:rFonts w:ascii="Times New Roman" w:hAnsi="Times New Roman" w:cs="Times New Roman" w:eastAsia="Times New Roman"/>
          <w:b w:val="0"/>
          <w:i/>
          <w:sz w:val="24"/>
        </w:rPr>
        <w:t>The Journal of Continuing Education in Nursing, 39</w:t>
      </w:r>
      <w:r>
        <w:rPr>
          <w:rFonts w:ascii="Times New Roman" w:hAnsi="Times New Roman" w:cs="Times New Roman" w:eastAsia="Times New Roman"/>
          <w:b w:val="0"/>
          <w:i w:val="0"/>
          <w:sz w:val="24"/>
        </w:rPr>
        <w:t xml:space="preserve"> (2), 58-64. https://doi.org/10.3928/00220124-20080201-12</w:t>
      </w:r>
    </w:p>
    <w:p>
      <w:pPr>
        <w:spacing w:before="0" w:after="160" w:line="360" w:lineRule="auto"/>
        <w:ind w:left="720" w:hanging="720"/>
        <w:jc w:val="both"/>
      </w:pPr>
      <w:r>
        <w:rPr>
          <w:rFonts w:ascii="Times New Roman" w:hAnsi="Times New Roman" w:cs="Times New Roman" w:eastAsia="Times New Roman"/>
          <w:b w:val="0"/>
          <w:i w:val="0"/>
          <w:sz w:val="24"/>
        </w:rPr>
        <w:t xml:space="preserve">Torres-Zapata, A. E., Torres-Zapata, A., Acuña-Lara, J. P., Moguel-Ceballos, J. E. y Brito-Cruz, T. J. (2023). Burnout, estrés y autoestima sobre el rendimiento académico en universitarios del área de la salud. </w:t>
      </w:r>
      <w:r>
        <w:rPr>
          <w:rFonts w:ascii="Times New Roman" w:hAnsi="Times New Roman" w:cs="Times New Roman" w:eastAsia="Times New Roman"/>
          <w:b w:val="0"/>
          <w:i/>
          <w:sz w:val="24"/>
        </w:rPr>
        <w:t>Revista Transdisciplinaria de Estudios Sociales y Tecnológicos, 3</w:t>
      </w:r>
      <w:r>
        <w:rPr>
          <w:rFonts w:ascii="Times New Roman" w:hAnsi="Times New Roman" w:cs="Times New Roman" w:eastAsia="Times New Roman"/>
          <w:b w:val="0"/>
          <w:i w:val="0"/>
          <w:sz w:val="24"/>
        </w:rPr>
        <w:t xml:space="preserve"> (1), 47-60. https://revista.excedinter.com/index.php/rtest/article/view/63/60</w:t>
      </w:r>
    </w:p>
    <w:p>
      <w:pPr>
        <w:spacing w:before="0" w:after="160" w:line="360" w:lineRule="auto"/>
        <w:ind w:left="720" w:hanging="720"/>
        <w:jc w:val="both"/>
      </w:pPr>
      <w:r>
        <w:rPr>
          <w:rFonts w:ascii="Times New Roman" w:hAnsi="Times New Roman" w:cs="Times New Roman" w:eastAsia="Times New Roman"/>
          <w:b w:val="0"/>
          <w:i w:val="0"/>
          <w:sz w:val="24"/>
        </w:rPr>
        <w:t xml:space="preserve">Torres-Zapata, Á., Rivera, J., Flores, P., García, M. y Castillo, D. (2020). Reprobación, síntoma de deserción escolar en licenciatura en Nutrición de la Universidad Autónoma del Carmen. RIDE. </w:t>
      </w:r>
      <w:r>
        <w:rPr>
          <w:rFonts w:ascii="Times New Roman" w:hAnsi="Times New Roman" w:cs="Times New Roman" w:eastAsia="Times New Roman"/>
          <w:b w:val="0"/>
          <w:i/>
          <w:sz w:val="24"/>
        </w:rPr>
        <w:t>Revista Iberoamericana para la Investigación y el Desarrollo Educativo, 10</w:t>
      </w:r>
      <w:r>
        <w:rPr>
          <w:rFonts w:ascii="Times New Roman" w:hAnsi="Times New Roman" w:cs="Times New Roman" w:eastAsia="Times New Roman"/>
          <w:b w:val="0"/>
          <w:i w:val="0"/>
          <w:sz w:val="24"/>
        </w:rPr>
        <w:t xml:space="preserve"> (20). https://doi.org/10.23913/ride.v10i20.602</w:t>
      </w:r>
    </w:p>
    <w:p>
      <w:pPr>
        <w:spacing w:before="0" w:after="160" w:line="360" w:lineRule="auto"/>
        <w:ind w:left="720" w:hanging="720"/>
        <w:jc w:val="both"/>
      </w:pPr>
      <w:r>
        <w:rPr>
          <w:rFonts w:ascii="Times New Roman" w:hAnsi="Times New Roman" w:cs="Times New Roman" w:eastAsia="Times New Roman"/>
          <w:b w:val="0"/>
          <w:i w:val="0"/>
          <w:sz w:val="24"/>
        </w:rPr>
        <w:t xml:space="preserve">Valdés-León, G., Vidal, M., Oyarzún, R., Olivares, C. y Flores, R. (2022). Rendimiento académico y escritura en la universidad: el impacto de las tecnologías de la información en el aula. </w:t>
      </w:r>
      <w:r>
        <w:rPr>
          <w:rFonts w:ascii="Times New Roman" w:hAnsi="Times New Roman" w:cs="Times New Roman" w:eastAsia="Times New Roman"/>
          <w:b w:val="0"/>
          <w:i/>
          <w:sz w:val="24"/>
        </w:rPr>
        <w:t>RISTI-Revista Iberica de Sistemas e Tecnologías de Informacao</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E53</w:t>
      </w:r>
      <w:r>
        <w:rPr>
          <w:rFonts w:ascii="Times New Roman" w:hAnsi="Times New Roman" w:cs="Times New Roman" w:eastAsia="Times New Roman"/>
          <w:b w:val="0"/>
          <w:i w:val="0"/>
          <w:sz w:val="24"/>
        </w:rPr>
        <w:t xml:space="preserve"> (10), 46-55. http://hdl.handle.net/10553/120822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RENDIMIENTO ACADÉMICO EN LA MODALIDAD PRESENCIAL</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