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60" w:line="360" w:lineRule="auto"/>
        <w:jc w:val="center"/>
      </w:pPr>
      <w:r>
        <w:rPr>
          <w:rFonts w:ascii="Times New Roman" w:hAnsi="Times New Roman" w:cs="Times New Roman" w:eastAsia="Times New Roman"/>
          <w:b/>
          <w:i w:val="0"/>
          <w:sz w:val="24"/>
        </w:rPr>
        <w:t>Inteligencia artificial en la educación latinoamericana: análisis crítico de personalización y desigualdad educativa</w:t>
      </w:r>
    </w:p>
    <w:p>
      <w:pPr>
        <w:spacing w:before="0" w:after="0" w:line="360" w:lineRule="auto"/>
        <w:jc w:val="left"/>
      </w:pPr>
    </w:p>
    <w:p>
      <w:pPr>
        <w:spacing w:before="0" w:after="160" w:line="360" w:lineRule="auto"/>
        <w:jc w:val="center"/>
      </w:pPr>
      <w:r>
        <w:rPr>
          <w:rFonts w:ascii="Times New Roman" w:hAnsi="Times New Roman" w:cs="Times New Roman" w:eastAsia="Times New Roman"/>
          <w:b w:val="0"/>
          <w:i w:val="0"/>
          <w:sz w:val="24"/>
        </w:rPr>
        <w:t>Miluska Jackeline Madelaine Pajuelo-Abanto, José Ismael Castillo Navarro, Edinson Isaí Carlos-Abanto, Víctor Yury Bazán-Pajuelo, Mihail Enrique Bazán-Pajuelo, Luis Alberto Colina-Cueva y Cecilia del Pilar Vásquez-Mondragón</w:t>
      </w:r>
    </w:p>
    <w:p>
      <w:pPr>
        <w:spacing w:before="0" w:after="160" w:line="360" w:lineRule="auto"/>
        <w:jc w:val="center"/>
      </w:pPr>
      <w:r>
        <w:rPr>
          <w:rFonts w:ascii="Times New Roman" w:hAnsi="Times New Roman" w:cs="Times New Roman" w:eastAsia="Times New Roman"/>
          <w:b w:val="0"/>
          <w:i w:val="0"/>
          <w:sz w:val="24"/>
        </w:rPr>
        <w:t>Universidad Nacional de Trujillo, Perú</w:t>
      </w:r>
    </w:p>
    <w:p>
      <w:pPr>
        <w:spacing w:before="0" w:after="160" w:line="360" w:lineRule="auto"/>
        <w:jc w:val="center"/>
      </w:pPr>
      <w:r>
        <w:rPr>
          <w:rFonts w:ascii="Times New Roman" w:hAnsi="Times New Roman" w:cs="Times New Roman" w:eastAsia="Times New Roman"/>
          <w:b w:val="0"/>
          <w:i w:val="0"/>
          <w:sz w:val="24"/>
        </w:rPr>
        <w:t>Universidad Privada del Norte, Perú</w:t>
      </w:r>
    </w:p>
    <w:p>
      <w:pPr>
        <w:spacing w:before="0" w:after="0" w:line="360" w:lineRule="auto"/>
        <w:jc w:val="left"/>
      </w:pPr>
    </w:p>
    <w:p>
      <w:pPr>
        <w:spacing w:before="0" w:after="160" w:line="360" w:lineRule="auto"/>
        <w:jc w:val="center"/>
      </w:pPr>
      <w:r>
        <w:rPr>
          <w:rFonts w:ascii="Times New Roman" w:hAnsi="Times New Roman" w:cs="Times New Roman" w:eastAsia="Times New Roman"/>
          <w:b/>
          <w:i w:val="0"/>
          <w:sz w:val="24"/>
        </w:rPr>
        <w:t>Nota de los autores</w:t>
      </w:r>
    </w:p>
    <w:p>
      <w:pPr>
        <w:spacing w:before="0" w:after="160" w:line="360" w:lineRule="auto"/>
        <w:jc w:val="center"/>
      </w:pPr>
      <w:r>
        <w:rPr>
          <w:rFonts w:ascii="Times New Roman" w:hAnsi="Times New Roman" w:cs="Times New Roman" w:eastAsia="Times New Roman"/>
          <w:b w:val="0"/>
          <w:i w:val="0"/>
          <w:sz w:val="24"/>
        </w:rPr>
        <w:t>Correspondencia: mjpajueloa@unitru.edu.pe, jcastillon@unitru.edu.pe, Edinson.carlos@upn.edu.pe, bazanpajuelo.victor.4d@gmail.com, mebazanp@unitru.edu.pe, lcolina@unitru.edu.pe, cvasquezm@unitru.edu.pe</w:t>
      </w:r>
    </w:p>
    <w:p>
      <w:pPr>
        <w:spacing w:before="0" w:after="160" w:line="360" w:lineRule="auto"/>
        <w:jc w:val="center"/>
      </w:pPr>
      <w:r>
        <w:rPr>
          <w:rFonts w:ascii="Times New Roman" w:hAnsi="Times New Roman" w:cs="Times New Roman" w:eastAsia="Times New Roman"/>
          <w:b w:val="0"/>
          <w:i w:val="0"/>
          <w:sz w:val="24"/>
        </w:rPr>
        <w:t xml:space="preserve">Declaración de uso de inteligencia artificial: En la elaboración de este artículo se utilizó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w:t>
      </w:r>
      <w:r>
        <w:rPr>
          <w:rFonts w:ascii="Times New Roman" w:hAnsi="Times New Roman" w:cs="Times New Roman" w:eastAsia="Times New Roman"/>
          <w:b w:val="0"/>
          <w:i/>
          <w:sz w:val="24"/>
        </w:rPr>
        <w:t>OpenAI</w:t>
      </w:r>
      <w:r>
        <w:rPr>
          <w:rFonts w:ascii="Times New Roman" w:hAnsi="Times New Roman" w:cs="Times New Roman" w:eastAsia="Times New Roman"/>
          <w:b w:val="0"/>
          <w:i w:val="0"/>
          <w:sz w:val="24"/>
        </w:rPr>
        <w:t>) únicamente para búsquedas bibliográficas preliminares y para el refinamiento de las ecuaciones de búsqueda en bases de datos académicas. Todo el análisis crítico de los 59 artículos revisados, la síntesis conceptual, la identificación de vacíos, la articulación con marcos teóricos de justicia social latinoamericana y la redacción completa del manuscrito fueron realizados exclusivamente por los autores. El uso de la IA fue instrumental y limitado, con control humano total sobre el contenido, la argumentación y las conclusiones.</w:t>
      </w:r>
    </w:p>
    <w:p>
      <w:pPr>
        <w:spacing w:before="0" w:after="160" w:line="360" w:lineRule="auto"/>
        <w:jc w:val="center"/>
      </w:pPr>
      <w:r>
        <w:rPr>
          <w:rFonts w:ascii="Times New Roman" w:hAnsi="Times New Roman" w:cs="Times New Roman" w:eastAsia="Times New Roman"/>
          <w:b w:val="0"/>
          <w:i w:val="0"/>
          <w:sz w:val="24"/>
        </w:rPr>
        <w:t>Financiamiento: Este estudio no recibió financiamiento externo.</w:t>
      </w:r>
    </w:p>
    <w:p>
      <w:pPr>
        <w:spacing w:before="0" w:after="160" w:line="360" w:lineRule="auto"/>
        <w:jc w:val="center"/>
      </w:pPr>
      <w:r>
        <w:rPr>
          <w:rFonts w:ascii="Times New Roman" w:hAnsi="Times New Roman" w:cs="Times New Roman" w:eastAsia="Times New Roman"/>
          <w:b w:val="0"/>
          <w:i w:val="0"/>
          <w:sz w:val="24"/>
        </w:rPr>
        <w:t>Conflicto de intereses: Los autores declaran que no existe conflicto de intereses relacionado con la publicación de este artículo.</w:t>
      </w:r>
    </w:p>
    <w:p>
      <w:pPr>
        <w:pageBreakBefore/>
        <w:spacing w:after="0"/>
      </w:pPr>
    </w:p>
    <w:p>
      <w:pPr>
        <w:spacing w:before="480" w:after="160" w:line="360" w:lineRule="auto"/>
        <w:jc w:val="center"/>
      </w:pPr>
      <w:r>
        <w:rPr>
          <w:rFonts w:ascii="Times New Roman" w:hAnsi="Times New Roman" w:cs="Times New Roman" w:eastAsia="Times New Roman"/>
          <w:b/>
          <w:i w:val="0"/>
          <w:sz w:val="24"/>
        </w:rPr>
        <w:t>Resumen</w:t>
      </w:r>
    </w:p>
    <w:p>
      <w:pPr>
        <w:spacing w:before="0" w:after="160" w:line="360" w:lineRule="auto"/>
        <w:jc w:val="both"/>
      </w:pPr>
      <w:r>
        <w:rPr>
          <w:rFonts w:ascii="Times New Roman" w:hAnsi="Times New Roman" w:cs="Times New Roman" w:eastAsia="Times New Roman"/>
          <w:b w:val="0"/>
          <w:i w:val="0"/>
          <w:sz w:val="24"/>
        </w:rPr>
        <w:t xml:space="preserve">Se analizó críticamente el estado del arte sobre la inteligencia artificial en la educación latinoamericana y su relación con la equidad educativa mediante una revisión conceptual sistemática. De 59 artículos indexados en Scopus (2024–2025), se seleccionaron 14 para un análisis en profundidad mediante marcos de justicia educativa latinoamericana. Se identificaron tres paradojas: personalización frente a la estandarización algorítmica; innovación frente a la ampliación de brechas de acceso, uso y diseño, y empoderamiento frente a colonialidad tecnológica. Sólo 11.9% aborda la equidad o la desigualdad, sin incluir a poblaciones vulnerables, como las indígenas o las migrantes. Es la primera sistematización regional posterior a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que articula la IA educativa y la justicia social. Se concluye que la IA puede amplificar las desigualdades sin políticas inclusivas, alfabetización crítica y regulación ética participativa.</w:t>
      </w:r>
    </w:p>
    <w:p>
      <w:pPr>
        <w:spacing w:before="0" w:after="160" w:line="360" w:lineRule="auto"/>
        <w:jc w:val="both"/>
      </w:pPr>
      <w:r>
        <w:rPr>
          <w:rFonts w:ascii="Times New Roman" w:hAnsi="Times New Roman" w:cs="Times New Roman" w:eastAsia="Times New Roman"/>
          <w:b/>
          <w:i/>
          <w:sz w:val="24"/>
        </w:rPr>
        <w:t xml:space="preserve">Palabras clave: </w:t>
      </w:r>
      <w:r>
        <w:rPr>
          <w:rFonts w:ascii="Times New Roman" w:hAnsi="Times New Roman" w:cs="Times New Roman" w:eastAsia="Times New Roman"/>
          <w:b w:val="0"/>
          <w:i/>
          <w:sz w:val="24"/>
        </w:rPr>
        <w:t>inteligencia artificial, tecnología educativa, desigualdad educativa, América Latina, política educativa</w:t>
      </w:r>
    </w:p>
    <w:p>
      <w:pPr>
        <w:pageBreakBefore/>
        <w:spacing w:after="0"/>
      </w:pPr>
    </w:p>
    <w:p>
      <w:pPr>
        <w:spacing w:before="480" w:after="160" w:line="360" w:lineRule="auto"/>
        <w:jc w:val="center"/>
      </w:pPr>
      <w:r>
        <w:rPr>
          <w:rFonts w:ascii="Times New Roman" w:hAnsi="Times New Roman" w:cs="Times New Roman" w:eastAsia="Times New Roman"/>
          <w:b/>
          <w:i w:val="0"/>
          <w:sz w:val="24"/>
        </w:rPr>
        <w:t>Inteligencia artificial en la educación latinoamericana: análisis crítico de personalización y desigualdad educativa</w:t>
      </w:r>
    </w:p>
    <w:p>
      <w:pPr>
        <w:keepNext/>
        <w:spacing w:before="480" w:after="160" w:line="360" w:lineRule="auto"/>
        <w:jc w:val="center"/>
      </w:pPr>
      <w:r>
        <w:rPr>
          <w:rFonts w:ascii="Times New Roman" w:hAnsi="Times New Roman" w:cs="Times New Roman" w:eastAsia="Times New Roman"/>
          <w:b/>
          <w:i w:val="0"/>
          <w:sz w:val="24"/>
        </w:rPr>
        <w:t>INTRODUCCIÓN</w:t>
      </w:r>
    </w:p>
    <w:p>
      <w:pPr>
        <w:spacing w:before="0" w:after="160" w:line="360" w:lineRule="auto"/>
        <w:ind w:firstLine="720"/>
        <w:jc w:val="both"/>
      </w:pPr>
      <w:r>
        <w:rPr>
          <w:rFonts w:ascii="Times New Roman" w:hAnsi="Times New Roman" w:cs="Times New Roman" w:eastAsia="Times New Roman"/>
          <w:b w:val="0"/>
          <w:i w:val="0"/>
          <w:sz w:val="24"/>
        </w:rPr>
        <w:t xml:space="preserve">Desde el lanzamiento de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en noviembre de 2022, la inteligencia artificial generativa (IAG) ha desatado intensos debates sobre las transformaciones en los sistemas educativos a nivel global. Las promesas son atractivas: personalización del aprendizaje, automatización de tareas administrativas, evaluación instantánea con retroalimentación inmediata y acceso a tutores virtuales permanentes (Abbasi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2025). En América Latina, instituciones de todos los niveles han adoptado rápidamente estas herramientas, con frecuencia sin marcos regulatorios ni evaluaciones críticas de equidad (Rivadeneira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2025).</w:t>
      </w:r>
    </w:p>
    <w:p>
      <w:pPr>
        <w:spacing w:before="0" w:after="160" w:line="360" w:lineRule="auto"/>
        <w:ind w:firstLine="720"/>
        <w:jc w:val="both"/>
      </w:pPr>
      <w:r>
        <w:rPr>
          <w:rFonts w:ascii="Times New Roman" w:hAnsi="Times New Roman" w:cs="Times New Roman" w:eastAsia="Times New Roman"/>
          <w:b w:val="0"/>
          <w:i w:val="0"/>
          <w:sz w:val="24"/>
        </w:rPr>
        <w:t>Esta transformación tecnológica llega a la región más desigual del planeta, con un coeficiente de Gini promedio de 0.46 que refleja brechas económicas, sociales y educativas persistentes (Comisión Económica para América Latina y el Caribe [ CEPAL ], 2024). La pandemia por Covid-19 evidenció estas disparidades: mientras sectores privilegiados pasaron a la educación remota con conectividad estable, más de 50 millones de niños latinoamericanos perdieron del todo el vínculo educativo por falta de acceso digital ( UNESCO, 2023). Surge entonces la pregunta fundamental: ¿será la IA una herramienta para cerrar brechas históricas o un nuevo mecanismo para profundizar las desigualdades?</w:t>
      </w:r>
    </w:p>
    <w:p>
      <w:pPr>
        <w:spacing w:before="0" w:after="160" w:line="360" w:lineRule="auto"/>
        <w:ind w:firstLine="720"/>
        <w:jc w:val="both"/>
      </w:pPr>
      <w:r>
        <w:rPr>
          <w:rFonts w:ascii="Times New Roman" w:hAnsi="Times New Roman" w:cs="Times New Roman" w:eastAsia="Times New Roman"/>
          <w:b w:val="0"/>
          <w:i w:val="0"/>
          <w:sz w:val="24"/>
        </w:rPr>
        <w:t xml:space="preserve">La literatura internacional sobre IA educativa creció exponencialmente en dos años, pero presenta tres limitaciones críticas para América Latina. Primero, marcado sesgo geográfico hacia el Norte Global, con escasa consideración de realidades caracterizadas por alta desigualdad, infraestructura digital limitada y sistemas subfinanciados (Fernández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2024). Segundo, predomina un enfoque técnico que privilegia la eficiencia y la innovación, mientras que la justicia social y la equidad aparecen de manera marginal (De la Torre y Baldeon, 2024). Tercero, las perspectivas críticas latinoamericanas están ausentes del debate dominante sobre la IA educativa.</w:t>
      </w:r>
    </w:p>
    <w:p>
      <w:pPr>
        <w:spacing w:before="0" w:after="160" w:line="360" w:lineRule="auto"/>
        <w:ind w:firstLine="720"/>
        <w:jc w:val="both"/>
      </w:pPr>
      <w:r>
        <w:rPr>
          <w:rFonts w:ascii="Times New Roman" w:hAnsi="Times New Roman" w:cs="Times New Roman" w:eastAsia="Times New Roman"/>
          <w:b w:val="0"/>
          <w:i w:val="0"/>
          <w:sz w:val="24"/>
        </w:rPr>
        <w:t>Este artículo busca llenar estos vacíos mediante una revisión que articula la producción académica reciente con marcos teóricos de justicia social, del derecho a la educación y de la pedagogía crítica latinoamericana. La pregunta central: ¿cómo se relaciona la implementación de la IA con las estructuras de desigualdad educativa en América Latina y qué vacíos deben abordarse para que estas tecnologías contribuyan a la equidad en lugar de profundizar las brechas?</w:t>
      </w:r>
    </w:p>
    <w:p>
      <w:pPr>
        <w:spacing w:before="0" w:after="160" w:line="360" w:lineRule="auto"/>
        <w:ind w:firstLine="720"/>
        <w:jc w:val="both"/>
      </w:pPr>
      <w:r>
        <w:rPr>
          <w:rFonts w:ascii="Times New Roman" w:hAnsi="Times New Roman" w:cs="Times New Roman" w:eastAsia="Times New Roman"/>
          <w:b w:val="0"/>
          <w:i w:val="0"/>
          <w:sz w:val="24"/>
        </w:rPr>
        <w:t>El objetivo general es analizar críticamente el estado del arte de la IA educativa en América Latina e identificar tensiones entre discursos innovadores y realidades desiguales. Los objetivos específicos incluyen: sistematizar la producción académica reciente; identificar contradicciones entre promesas tecnológicas y condiciones materiales; analizar vacíos en el conocimiento sobre grupos vulnerables y proponer marcos conceptuales que integren la IA con la justicia social.</w:t>
      </w:r>
    </w:p>
    <w:p>
      <w:pPr>
        <w:keepNext/>
        <w:spacing w:before="480" w:after="160" w:line="360" w:lineRule="auto"/>
        <w:jc w:val="center"/>
      </w:pPr>
      <w:r>
        <w:rPr>
          <w:rFonts w:ascii="Times New Roman" w:hAnsi="Times New Roman" w:cs="Times New Roman" w:eastAsia="Times New Roman"/>
          <w:b/>
          <w:i w:val="0"/>
          <w:sz w:val="24"/>
        </w:rPr>
        <w:t>MARCO CONCEPTUAL</w:t>
      </w:r>
    </w:p>
    <w:p>
      <w:pPr>
        <w:keepNext/>
        <w:spacing w:before="320" w:after="160" w:line="360" w:lineRule="auto"/>
        <w:jc w:val="left"/>
      </w:pPr>
      <w:r>
        <w:rPr>
          <w:rFonts w:ascii="Times New Roman" w:hAnsi="Times New Roman" w:cs="Times New Roman" w:eastAsia="Times New Roman"/>
          <w:b/>
          <w:i/>
          <w:sz w:val="24"/>
        </w:rPr>
        <w:t>Inteligencia artificial en educación: definiciones</w:t>
      </w:r>
    </w:p>
    <w:p>
      <w:pPr>
        <w:spacing w:before="0" w:after="160" w:line="360" w:lineRule="auto"/>
        <w:ind w:firstLine="720"/>
        <w:jc w:val="both"/>
      </w:pPr>
      <w:r>
        <w:rPr>
          <w:rFonts w:ascii="Times New Roman" w:hAnsi="Times New Roman" w:cs="Times New Roman" w:eastAsia="Times New Roman"/>
          <w:b w:val="0"/>
          <w:i w:val="0"/>
          <w:sz w:val="24"/>
        </w:rPr>
        <w:t>Definimos la IA en educación como sistemas computacionales que realizan tareas humanas –aprendizaje, razonamiento, resolución de problemas, comprensión del lenguaje– aplicados en el ámbito educativo para la personalización, evaluación, tutoría, generación de contenidos y gestión. Las tecnologías principales incluyen: IAG (</w:t>
      </w:r>
      <w:r>
        <w:rPr>
          <w:rFonts w:ascii="Times New Roman" w:hAnsi="Times New Roman" w:cs="Times New Roman" w:eastAsia="Times New Roman"/>
          <w:b w:val="0"/>
          <w:i/>
          <w:sz w:val="24"/>
        </w:rPr>
        <w:t>ChatGPT, Gemini, Claude</w:t>
      </w:r>
      <w:r>
        <w:rPr>
          <w:rFonts w:ascii="Times New Roman" w:hAnsi="Times New Roman" w:cs="Times New Roman" w:eastAsia="Times New Roman"/>
          <w:b w:val="0"/>
          <w:i w:val="0"/>
          <w:sz w:val="24"/>
        </w:rPr>
        <w:t xml:space="preserve">), que producen textos e imágenes; sistemas de tutoría inteligente que adaptan rutas según el desempeño; analítica del aprendizaje mediante minería de datos; evaluación automatizada y </w:t>
      </w:r>
      <w:r>
        <w:rPr>
          <w:rFonts w:ascii="Times New Roman" w:hAnsi="Times New Roman" w:cs="Times New Roman" w:eastAsia="Times New Roman"/>
          <w:b w:val="0"/>
          <w:i/>
          <w:sz w:val="24"/>
        </w:rPr>
        <w:t>chatbots</w:t>
      </w:r>
      <w:r>
        <w:rPr>
          <w:rFonts w:ascii="Times New Roman" w:hAnsi="Times New Roman" w:cs="Times New Roman" w:eastAsia="Times New Roman"/>
          <w:b w:val="0"/>
          <w:i w:val="0"/>
          <w:sz w:val="24"/>
        </w:rPr>
        <w:t xml:space="preserve"> educativos (Abbasi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2025).</w:t>
      </w:r>
    </w:p>
    <w:p>
      <w:pPr>
        <w:spacing w:before="0" w:after="160" w:line="360" w:lineRule="auto"/>
        <w:ind w:firstLine="720"/>
        <w:jc w:val="both"/>
      </w:pPr>
      <w:r>
        <w:rPr>
          <w:rFonts w:ascii="Times New Roman" w:hAnsi="Times New Roman" w:cs="Times New Roman" w:eastAsia="Times New Roman"/>
          <w:b w:val="0"/>
          <w:i w:val="0"/>
          <w:sz w:val="24"/>
        </w:rPr>
        <w:t xml:space="preserve">Estas tecnologías no son ni neutrales ni universales. Como argumenta Williamson (2017), los sistemas de IA incorporan los valores y sesgos de sus diseñadores y financiadores. Cuando las corporaciones transnacionales desarrollan herramientas con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anglocéntricos y bases de datos del Norte Global, los sistemas resultantes reproducen de manera inevitable estas perspectivas como universales.</w:t>
      </w:r>
    </w:p>
    <w:p>
      <w:pPr>
        <w:keepNext/>
        <w:spacing w:before="320" w:after="160" w:line="360" w:lineRule="auto"/>
        <w:jc w:val="left"/>
      </w:pPr>
      <w:r>
        <w:rPr>
          <w:rFonts w:ascii="Times New Roman" w:hAnsi="Times New Roman" w:cs="Times New Roman" w:eastAsia="Times New Roman"/>
          <w:b/>
          <w:i/>
          <w:sz w:val="24"/>
        </w:rPr>
        <w:t>Marcos de justicia social en educación</w:t>
      </w:r>
    </w:p>
    <w:p>
      <w:pPr>
        <w:spacing w:before="0" w:after="160" w:line="360" w:lineRule="auto"/>
        <w:ind w:firstLine="720"/>
        <w:jc w:val="both"/>
      </w:pPr>
      <w:r>
        <w:rPr>
          <w:rFonts w:ascii="Times New Roman" w:hAnsi="Times New Roman" w:cs="Times New Roman" w:eastAsia="Times New Roman"/>
          <w:b w:val="0"/>
          <w:i w:val="0"/>
          <w:sz w:val="24"/>
        </w:rPr>
        <w:t>Nuestra aproximación se fundamenta en tres perspectivas complementarias. Primero, el enfoque de capacidades de Sen (1999) y Nussbaum (2011) concibe la educación como la ampliación de las libertades reales y de las capacidades para funcionar en la vida valorada. La pregunta relevante no es si los estudiantes tienen acceso técnico a la IA, sino si estas tecnologías expanden de forma genuina sus capacidades para pensar críticamente, crear, colaborar y participar a plenitud.</w:t>
      </w:r>
    </w:p>
    <w:p>
      <w:pPr>
        <w:spacing w:before="0" w:after="160" w:line="360" w:lineRule="auto"/>
        <w:ind w:firstLine="720"/>
        <w:jc w:val="both"/>
      </w:pPr>
      <w:r>
        <w:rPr>
          <w:rFonts w:ascii="Times New Roman" w:hAnsi="Times New Roman" w:cs="Times New Roman" w:eastAsia="Times New Roman"/>
          <w:b w:val="0"/>
          <w:i w:val="0"/>
          <w:sz w:val="24"/>
        </w:rPr>
        <w:t>Segundo, el principio de diferencia de Rawls (1971) establece que las desigualdades sólo son justas si benefician a los miembros menos aventajados. Aplicado a la IA educativa, exigiría demostrar mejoras para quienes históricamente están más excluidos antes que profundizar en las ventajas de los sectores privilegiados.</w:t>
      </w:r>
    </w:p>
    <w:p>
      <w:pPr>
        <w:spacing w:before="0" w:after="160" w:line="360" w:lineRule="auto"/>
        <w:ind w:firstLine="720"/>
        <w:jc w:val="both"/>
      </w:pPr>
      <w:r>
        <w:rPr>
          <w:rFonts w:ascii="Times New Roman" w:hAnsi="Times New Roman" w:cs="Times New Roman" w:eastAsia="Times New Roman"/>
          <w:b w:val="0"/>
          <w:i w:val="0"/>
          <w:sz w:val="24"/>
        </w:rPr>
        <w:t>Tercero, el marco tridimensional de Fraser (2008) permite analizar la IA en redistribución (acceso equitativo a los recursos tecnológicos), reconocimiento (respeto a la diversidad cultural) y representación (participación en las decisiones sobre tecnologías).</w:t>
      </w:r>
    </w:p>
    <w:p>
      <w:pPr>
        <w:keepNext/>
        <w:spacing w:before="320" w:after="160" w:line="360" w:lineRule="auto"/>
        <w:jc w:val="left"/>
      </w:pPr>
      <w:r>
        <w:rPr>
          <w:rFonts w:ascii="Times New Roman" w:hAnsi="Times New Roman" w:cs="Times New Roman" w:eastAsia="Times New Roman"/>
          <w:b/>
          <w:i/>
          <w:sz w:val="24"/>
        </w:rPr>
        <w:t>Derecho a la educación en América Latina</w:t>
      </w:r>
    </w:p>
    <w:p>
      <w:pPr>
        <w:spacing w:before="0" w:after="160" w:line="360" w:lineRule="auto"/>
        <w:ind w:firstLine="720"/>
        <w:jc w:val="both"/>
      </w:pPr>
      <w:r>
        <w:rPr>
          <w:rFonts w:ascii="Times New Roman" w:hAnsi="Times New Roman" w:cs="Times New Roman" w:eastAsia="Times New Roman"/>
          <w:b w:val="0"/>
          <w:i w:val="0"/>
          <w:sz w:val="24"/>
        </w:rPr>
        <w:t>El derecho humano a la educación constituye el fundamento normativo para evaluar de forma crítica políticas de IA educativa. Siguiendo el marco de las “4A” de Tomasevski (2006) –disponibilidad, accesibilidad, aceptabilidad y adaptabilidad– formulamos preguntas específicas sobre si existen condiciones materiales para implementarla a gran escala, quiénes quedan sistemáticamente excluidos, si los contenidos generados son apropiados a la cultura y si los sistemas son flexibles o imponen modelos rígidos.</w:t>
      </w:r>
    </w:p>
    <w:p>
      <w:pPr>
        <w:keepNext/>
        <w:spacing w:before="320" w:after="160" w:line="360" w:lineRule="auto"/>
        <w:jc w:val="left"/>
      </w:pPr>
      <w:r>
        <w:rPr>
          <w:rFonts w:ascii="Times New Roman" w:hAnsi="Times New Roman" w:cs="Times New Roman" w:eastAsia="Times New Roman"/>
          <w:b/>
          <w:i/>
          <w:sz w:val="24"/>
        </w:rPr>
        <w:t>Pedagogía crítica latinoamericana</w:t>
      </w:r>
    </w:p>
    <w:p>
      <w:pPr>
        <w:spacing w:before="0" w:after="160" w:line="360" w:lineRule="auto"/>
        <w:ind w:firstLine="720"/>
        <w:jc w:val="both"/>
      </w:pPr>
      <w:r>
        <w:rPr>
          <w:rFonts w:ascii="Times New Roman" w:hAnsi="Times New Roman" w:cs="Times New Roman" w:eastAsia="Times New Roman"/>
          <w:b w:val="0"/>
          <w:i w:val="0"/>
          <w:sz w:val="24"/>
        </w:rPr>
        <w:t>La tradición de la pedagogía crítica, iniciada por Freire (2005), ofrece herramientas conceptuales indispensables. Freire distinguió entre educación “bancaria” –que deposita información en estudiantes pasivos– y “problematizadora” –que cultiva la conciencia crítica–. Esta distinción permite interrogar: ¿funciona la IA como banco de datos que deposita respuestas prefabricadas o como herramienta que potencia el cuestionamiento, la creatividad y el diálogo?</w:t>
      </w:r>
    </w:p>
    <w:p>
      <w:pPr>
        <w:keepNext/>
        <w:spacing w:before="320" w:after="160" w:line="360" w:lineRule="auto"/>
        <w:jc w:val="left"/>
      </w:pPr>
      <w:r>
        <w:rPr>
          <w:rFonts w:ascii="Times New Roman" w:hAnsi="Times New Roman" w:cs="Times New Roman" w:eastAsia="Times New Roman"/>
          <w:b/>
          <w:i/>
          <w:sz w:val="24"/>
        </w:rPr>
        <w:t>Estudios críticos de datos y dependencia tecnológica</w:t>
      </w:r>
    </w:p>
    <w:p>
      <w:pPr>
        <w:spacing w:before="0" w:after="160" w:line="360" w:lineRule="auto"/>
        <w:ind w:firstLine="720"/>
        <w:jc w:val="both"/>
      </w:pPr>
      <w:r>
        <w:rPr>
          <w:rFonts w:ascii="Times New Roman" w:hAnsi="Times New Roman" w:cs="Times New Roman" w:eastAsia="Times New Roman"/>
          <w:b w:val="0"/>
          <w:i w:val="0"/>
          <w:sz w:val="24"/>
        </w:rPr>
        <w:t>El concepto de “justicia de datos” de Taylor (2017) permite examinar quiénes generan, controlan y se benefician de los datos educativos masivos que alimentan los sistemas de IA. Como documentan Couldry y Mejías (2019), el capitalismo opera mediante la extracción sistemática de información de las poblaciones para la acumulación corporativa. En educación, esto significa que los estudiantes latinoamericanos generan datos valiosos que son apropiados por empresas transnacionales, sin retorno de beneficios ni control democrático.</w:t>
      </w:r>
    </w:p>
    <w:p>
      <w:pPr>
        <w:keepNext/>
        <w:spacing w:before="480" w:after="160" w:line="360" w:lineRule="auto"/>
        <w:jc w:val="center"/>
      </w:pPr>
      <w:r>
        <w:rPr>
          <w:rFonts w:ascii="Times New Roman" w:hAnsi="Times New Roman" w:cs="Times New Roman" w:eastAsia="Times New Roman"/>
          <w:b/>
          <w:i w:val="0"/>
          <w:sz w:val="24"/>
        </w:rPr>
        <w:t>METODOLOGÍA</w:t>
      </w:r>
    </w:p>
    <w:p>
      <w:pPr>
        <w:spacing w:before="0" w:after="160" w:line="360" w:lineRule="auto"/>
        <w:ind w:firstLine="720"/>
        <w:jc w:val="both"/>
      </w:pPr>
      <w:r>
        <w:rPr>
          <w:rFonts w:ascii="Times New Roman" w:hAnsi="Times New Roman" w:cs="Times New Roman" w:eastAsia="Times New Roman"/>
          <w:b w:val="0"/>
          <w:i w:val="0"/>
          <w:sz w:val="24"/>
        </w:rPr>
        <w:t>Este estudio adopta un diseño de revisión sistemática con un enfoque crítico. A diferencia de revisiones tan solo descriptivas, nuestra aproximación es interpretativa y evaluativa: buscamos identificar no sólo qué se ha investigado, sino también qué perspectivas predominan, qué voces están ausentes y qué vacíos deben abordarse desde la justicia educativa latinoamericana.</w:t>
      </w:r>
    </w:p>
    <w:p>
      <w:pPr>
        <w:spacing w:before="0" w:after="160" w:line="360" w:lineRule="auto"/>
        <w:ind w:firstLine="720"/>
        <w:jc w:val="both"/>
      </w:pPr>
      <w:r>
        <w:rPr>
          <w:rFonts w:ascii="Times New Roman" w:hAnsi="Times New Roman" w:cs="Times New Roman" w:eastAsia="Times New Roman"/>
          <w:b w:val="0"/>
          <w:i w:val="0"/>
          <w:sz w:val="24"/>
        </w:rPr>
        <w:t xml:space="preserve">La búsqueda bibliográfica se estructuró en tres fases. En la primera se delimitó el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se estableció como criterio de inclusión la publicación entre 2024 y 2025, periodo que captura investigaciones posteriores a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arbitraje en </w:t>
      </w:r>
      <w:r>
        <w:rPr>
          <w:rFonts w:ascii="Times New Roman" w:hAnsi="Times New Roman" w:cs="Times New Roman" w:eastAsia="Times New Roman"/>
          <w:b w:val="0"/>
          <w:i/>
          <w:sz w:val="24"/>
        </w:rPr>
        <w:t>Scopus</w:t>
      </w:r>
      <w:r>
        <w:rPr>
          <w:rFonts w:ascii="Times New Roman" w:hAnsi="Times New Roman" w:cs="Times New Roman" w:eastAsia="Times New Roman"/>
          <w:b w:val="0"/>
          <w:i w:val="0"/>
          <w:sz w:val="24"/>
        </w:rPr>
        <w:t xml:space="preserve">, base de datos seleccionada por su mayor cobertura de revistas latinoamericanas en Ciencias Sociales y Educación en comparación con </w:t>
      </w:r>
      <w:r>
        <w:rPr>
          <w:rFonts w:ascii="Times New Roman" w:hAnsi="Times New Roman" w:cs="Times New Roman" w:eastAsia="Times New Roman"/>
          <w:b w:val="0"/>
          <w:i/>
          <w:sz w:val="24"/>
        </w:rPr>
        <w:t>Web of Science</w:t>
      </w:r>
      <w:r>
        <w:rPr>
          <w:rFonts w:ascii="Times New Roman" w:hAnsi="Times New Roman" w:cs="Times New Roman" w:eastAsia="Times New Roman"/>
          <w:b w:val="0"/>
          <w:i w:val="0"/>
          <w:sz w:val="24"/>
        </w:rPr>
        <w:t xml:space="preserve">; y contexto latinoamericano explícito o relación directa con la equidad educativa. Se excluyeron la literatura no arbitrada, los artículos puramente técnicos sin reflexión educativa, los estudios anteriores a 2024 y los trabajos sin referencias a América Latina. Se reconoce como limitación que bases como Redalyc, ERIC o Latindex contienen producción educativa latinoamericana relevante no siempre indexada en </w:t>
      </w:r>
      <w:r>
        <w:rPr>
          <w:rFonts w:ascii="Times New Roman" w:hAnsi="Times New Roman" w:cs="Times New Roman" w:eastAsia="Times New Roman"/>
          <w:b w:val="0"/>
          <w:i/>
          <w:sz w:val="24"/>
        </w:rPr>
        <w:t>Scopus</w:t>
      </w:r>
      <w:r>
        <w:rPr>
          <w:rFonts w:ascii="Times New Roman" w:hAnsi="Times New Roman" w:cs="Times New Roman" w:eastAsia="Times New Roman"/>
          <w:b w:val="0"/>
          <w:i w:val="0"/>
          <w:sz w:val="24"/>
        </w:rPr>
        <w:t>, por lo que la restricción a esta base constituye un sesgo de publicación asumido de forma explícita.</w:t>
      </w:r>
    </w:p>
    <w:p>
      <w:pPr>
        <w:spacing w:before="0" w:after="160" w:line="360" w:lineRule="auto"/>
        <w:ind w:firstLine="720"/>
        <w:jc w:val="both"/>
      </w:pPr>
      <w:r>
        <w:rPr>
          <w:rFonts w:ascii="Times New Roman" w:hAnsi="Times New Roman" w:cs="Times New Roman" w:eastAsia="Times New Roman"/>
          <w:b w:val="0"/>
          <w:i w:val="0"/>
          <w:sz w:val="24"/>
        </w:rPr>
        <w:t xml:space="preserve">En la segunda fase se realizaron búsquedas en </w:t>
      </w:r>
      <w:r>
        <w:rPr>
          <w:rFonts w:ascii="Times New Roman" w:hAnsi="Times New Roman" w:cs="Times New Roman" w:eastAsia="Times New Roman"/>
          <w:b w:val="0"/>
          <w:i/>
          <w:sz w:val="24"/>
        </w:rPr>
        <w:t>Scopus</w:t>
      </w:r>
      <w:r>
        <w:rPr>
          <w:rFonts w:ascii="Times New Roman" w:hAnsi="Times New Roman" w:cs="Times New Roman" w:eastAsia="Times New Roman"/>
          <w:b w:val="0"/>
          <w:i w:val="0"/>
          <w:sz w:val="24"/>
        </w:rPr>
        <w:t>, combinando palabras clave en inglés y en español relacionadas con inteligencia artificial, educación, América Latina, desigualdad y equidad. Esta búsqueda arrojó 150 artículos potencialmente relevantes.</w:t>
      </w:r>
    </w:p>
    <w:p>
      <w:pPr>
        <w:spacing w:before="0" w:after="160" w:line="360" w:lineRule="auto"/>
        <w:ind w:firstLine="720"/>
        <w:jc w:val="both"/>
      </w:pPr>
      <w:r>
        <w:rPr>
          <w:rFonts w:ascii="Times New Roman" w:hAnsi="Times New Roman" w:cs="Times New Roman" w:eastAsia="Times New Roman"/>
          <w:b w:val="0"/>
          <w:i w:val="0"/>
          <w:sz w:val="24"/>
        </w:rPr>
        <w:t xml:space="preserve">En la tercera fase se aplicó una selección en tres etapas con criterios explícitos. La revisión de títulos y resúmenes redujo el universo a 80 artículos pertinentes, excluyendo los trabajos sin un contexto latinoamericano explícito, los estudios de corte puramente técnicoinstrumental sin componente pedagógico y las contribuciones sin reflexión sobre el impacto educativo. La lectura completa evaluó la calidad metodológica, la relevancia para el debate de equidad y la profundidad analítica, y condujo a la selección final de 59 artículos que constituyen el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de análisis; se descartaron trabajos con insuficiente rigor metodológico, sin aporte crítico al debate de desigualdad o cuyo objeto central era ajeno al campo educativo –por ejemplo, artículos médicos o actas de conferencias sin desarrollo argumentativo–. De estos 59 artículos, 14 fueron sometidos a análisis crítico en profundidad por su mayor relevancia directa para las tres paradojas centrales del estudio; éstos son los artículos con referencia completa en la sección de Referencias principales. Los 45 restantes se presentan en la tabla 2 y constituyen la base del análisis cuantitativo. La explicitación de estos criterios garantiza la transparencia metodológica y permite evaluar el rigor del proceso de selección.</w:t>
      </w:r>
    </w:p>
    <w:p>
      <w:pPr>
        <w:spacing w:before="0" w:after="160" w:line="360" w:lineRule="auto"/>
        <w:ind w:firstLine="720"/>
        <w:jc w:val="both"/>
      </w:pPr>
      <w:r>
        <w:rPr>
          <w:rFonts w:ascii="Times New Roman" w:hAnsi="Times New Roman" w:cs="Times New Roman" w:eastAsia="Times New Roman"/>
          <w:b w:val="0"/>
          <w:i w:val="0"/>
          <w:sz w:val="24"/>
        </w:rPr>
        <w:t xml:space="preserve">El análisis siguió un método temático crítico con una matriz de categorías analíticas. Utilizamos </w:t>
      </w:r>
      <w:r>
        <w:rPr>
          <w:rFonts w:ascii="Times New Roman" w:hAnsi="Times New Roman" w:cs="Times New Roman" w:eastAsia="Times New Roman"/>
          <w:b w:val="0"/>
          <w:i/>
          <w:sz w:val="24"/>
        </w:rPr>
        <w:t>NVivo</w:t>
      </w:r>
      <w:r>
        <w:rPr>
          <w:rFonts w:ascii="Times New Roman" w:hAnsi="Times New Roman" w:cs="Times New Roman" w:eastAsia="Times New Roman"/>
          <w:b w:val="0"/>
          <w:i w:val="0"/>
          <w:sz w:val="24"/>
        </w:rPr>
        <w:t xml:space="preserve"> para la codificación y organización de artículos según el nivel educativo abordado, el enfoque en brechas, la consideración de grupos vulnerables, el posicionamiento ético y la presencia de perspectivas críticas latinoamericanas.</w:t>
      </w:r>
    </w:p>
    <w:p>
      <w:pPr>
        <w:spacing w:before="0" w:after="160" w:line="360" w:lineRule="auto"/>
        <w:ind w:firstLine="720"/>
        <w:jc w:val="both"/>
      </w:pPr>
      <w:r>
        <w:rPr>
          <w:rFonts w:ascii="Times New Roman" w:hAnsi="Times New Roman" w:cs="Times New Roman" w:eastAsia="Times New Roman"/>
          <w:b w:val="0"/>
          <w:i w:val="0"/>
          <w:sz w:val="24"/>
        </w:rPr>
        <w:t xml:space="preserve">Se señalan como limitaciones: sesgo de publicación (sólo en </w:t>
      </w:r>
      <w:r>
        <w:rPr>
          <w:rFonts w:ascii="Times New Roman" w:hAnsi="Times New Roman" w:cs="Times New Roman" w:eastAsia="Times New Roman"/>
          <w:b w:val="0"/>
          <w:i/>
          <w:sz w:val="24"/>
        </w:rPr>
        <w:t>Scopus</w:t>
      </w:r>
      <w:r>
        <w:rPr>
          <w:rFonts w:ascii="Times New Roman" w:hAnsi="Times New Roman" w:cs="Times New Roman" w:eastAsia="Times New Roman"/>
          <w:b w:val="0"/>
          <w:i w:val="0"/>
          <w:sz w:val="24"/>
        </w:rPr>
        <w:t xml:space="preserve">); sesgo idiomático (la literatura en portugués está subrepresentada); temporalidad específica (2024-2025 carece de perspectiva histórica), y geografía, ya que Centroamérica y el Caribe están subrepresentados. Un factor adicional que explica la relativa escasez de estudios sobre desigualdad e IA en América Latina es el corto periodo de disponibilidad masiva de estas herramientas: aunque la IA tiene décadas de desarrollo en el ámbito informático, su liberación a escala mundial y su uso abierto apenas data de un par de años –con el lanzamiento de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en 2022–, lo que hace que la documentación sistemática de sus efectos educativos sea aún incipiente.</w:t>
      </w:r>
    </w:p>
    <w:p>
      <w:pPr>
        <w:spacing w:before="0" w:after="160" w:line="360" w:lineRule="auto"/>
        <w:ind w:firstLine="720"/>
        <w:jc w:val="both"/>
      </w:pPr>
      <w:r>
        <w:rPr>
          <w:rFonts w:ascii="Times New Roman" w:hAnsi="Times New Roman" w:cs="Times New Roman" w:eastAsia="Times New Roman"/>
          <w:b w:val="0"/>
          <w:i w:val="0"/>
          <w:sz w:val="24"/>
        </w:rPr>
        <w:t>Este contexto es relevante en especial porque, como señala el propio texto, se requieren y se buscan indagaciones de corte cualitativo y estudios longitudinales que demandan tiempo de maduración.</w:t>
      </w:r>
    </w:p>
    <w:p>
      <w:pPr>
        <w:keepNext/>
        <w:spacing w:before="480" w:after="160" w:line="360" w:lineRule="auto"/>
        <w:jc w:val="center"/>
      </w:pPr>
      <w:r>
        <w:rPr>
          <w:rFonts w:ascii="Times New Roman" w:hAnsi="Times New Roman" w:cs="Times New Roman" w:eastAsia="Times New Roman"/>
          <w:b/>
          <w:i w:val="0"/>
          <w:sz w:val="24"/>
        </w:rPr>
        <w:t>RESULTADOS</w:t>
      </w:r>
    </w:p>
    <w:p>
      <w:pPr>
        <w:keepNext/>
        <w:spacing w:before="320" w:after="160" w:line="360" w:lineRule="auto"/>
        <w:jc w:val="left"/>
      </w:pPr>
      <w:r>
        <w:rPr>
          <w:rFonts w:ascii="Times New Roman" w:hAnsi="Times New Roman" w:cs="Times New Roman" w:eastAsia="Times New Roman"/>
          <w:b/>
          <w:i/>
          <w:sz w:val="24"/>
        </w:rPr>
        <w:t>Panorama cuantitativo</w:t>
      </w:r>
    </w:p>
    <w:p>
      <w:pPr>
        <w:spacing w:before="0" w:after="160" w:line="360" w:lineRule="auto"/>
        <w:ind w:firstLine="720"/>
        <w:jc w:val="both"/>
      </w:pPr>
      <w:r>
        <w:rPr>
          <w:rFonts w:ascii="Times New Roman" w:hAnsi="Times New Roman" w:cs="Times New Roman" w:eastAsia="Times New Roman"/>
          <w:b w:val="0"/>
          <w:i w:val="0"/>
          <w:sz w:val="24"/>
        </w:rPr>
        <w:t xml:space="preserve">El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de 59 artículos muestra un crecimiento acelerado: 28 en 2024 y 31 en 2025. La distribución geográfica completa, con base en el país o región desde el que se realiza cada investigación o al que refiere de forma explícita, es la siguiente: estudios multipaís con perspectiva regional latinoamericana (11, 18.6%); Ecuador (6, 10.2%); Brasil (6, 10.2%); México (5, 8.5%); Perú (5, 8.5%); Colombia (5, 8.5%); producción desde Estados Unidos sobre América Latina (5, 8.5%); Chile (3, 5.1%), y otros países de América Latina (6, 10.2%), que incluyen Paraguay (1, 1.7%), República Dominicana (1, 1.7%), Cuba (1, 1.7%), Uruguay (1, 1.7%), Costa Rica (1, 1.7%) y Bolivia (1, 1.7%). Siete artículos (11.9%) carecen de contextualización latinoamericana específica o son de alcance global; fueron incluidos porque aportan marcos teóricos o metodológicos aplicados al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si bien sus hallazgos empíricos no se refieren de manera directa a la región.</w:t>
      </w:r>
    </w:p>
    <w:p>
      <w:pPr>
        <w:keepNext/>
        <w:spacing w:before="0" w:after="0" w:line="360" w:lineRule="auto"/>
        <w:jc w:val="left"/>
      </w:pPr>
      <w:r>
        <w:rPr>
          <w:rFonts w:ascii="Times New Roman" w:hAnsi="Times New Roman" w:cs="Times New Roman" w:eastAsia="Times New Roman"/>
          <w:b/>
          <w:i w:val="0"/>
          <w:sz w:val="24"/>
        </w:rPr>
        <w:t>Tabla 1.</w:t>
      </w:r>
    </w:p>
    <w:p>
      <w:pPr>
        <w:keepNext/>
        <w:spacing w:before="0" w:after="120" w:line="360" w:lineRule="auto"/>
        <w:jc w:val="left"/>
      </w:pPr>
      <w:r>
        <w:rPr>
          <w:rFonts w:ascii="Times New Roman" w:hAnsi="Times New Roman" w:cs="Times New Roman" w:eastAsia="Times New Roman"/>
          <w:b w:val="0"/>
          <w:i/>
          <w:sz w:val="24"/>
        </w:rPr>
        <w:t xml:space="preserve">Distribución geográfica de los 59 artículos del </w:t>
      </w:r>
      <w:r>
        <w:rPr>
          <w:rFonts w:ascii="Times New Roman" w:hAnsi="Times New Roman" w:cs="Times New Roman" w:eastAsia="Times New Roman"/>
          <w:b w:val="0"/>
          <w:i w:val="0"/>
          <w:sz w:val="24"/>
        </w:rPr>
        <w:t>corpus</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3120"/>
        <w:gridCol w:w="3120"/>
        <w:gridCol w:w="3120"/>
      </w:tblGrid>
      <w:tr>
        <w:tc>
          <w:tcPr>
            <w:tcW w:type="dxa" w:w="3120"/>
          </w:tcPr>
          <w:p>
            <w:pPr>
              <w:spacing w:before="0" w:after="0" w:line="240" w:lineRule="auto"/>
              <w:jc w:val="left"/>
            </w:pPr>
            <w:r>
              <w:rPr>
                <w:rFonts w:ascii="Times New Roman" w:hAnsi="Times New Roman" w:cs="Times New Roman" w:eastAsia="Times New Roman"/>
                <w:b/>
                <w:i w:val="0"/>
                <w:sz w:val="20"/>
              </w:rPr>
              <w:t>País / Categoría geográfica</w:t>
            </w:r>
          </w:p>
        </w:tc>
        <w:tc>
          <w:tcPr>
            <w:tcW w:type="dxa" w:w="3120"/>
          </w:tcPr>
          <w:p>
            <w:pPr>
              <w:spacing w:before="0" w:after="0" w:line="240" w:lineRule="auto"/>
              <w:jc w:val="left"/>
            </w:pPr>
            <w:r>
              <w:rPr>
                <w:rFonts w:ascii="Times New Roman" w:hAnsi="Times New Roman" w:cs="Times New Roman" w:eastAsia="Times New Roman"/>
                <w:b/>
                <w:i w:val="0"/>
                <w:sz w:val="20"/>
              </w:rPr>
              <w:t>N</w:t>
            </w:r>
          </w:p>
        </w:tc>
        <w:tc>
          <w:tcPr>
            <w:tcW w:type="dxa" w:w="3120"/>
          </w:tcPr>
          <w:p>
            <w:pPr>
              <w:spacing w:before="0" w:after="0" w:line="240" w:lineRule="auto"/>
              <w:jc w:val="left"/>
            </w:pPr>
            <w:r>
              <w:rPr>
                <w:rFonts w:ascii="Times New Roman" w:hAnsi="Times New Roman" w:cs="Times New Roman" w:eastAsia="Times New Roman"/>
                <w:b/>
                <w:i w:val="0"/>
                <w:sz w:val="20"/>
              </w:rPr>
              <w:t>%</w:t>
            </w:r>
          </w:p>
        </w:tc>
      </w:tr>
      <w:tr>
        <w:tc>
          <w:tcPr>
            <w:tcW w:type="dxa" w:w="3120"/>
          </w:tcPr>
          <w:p>
            <w:pPr>
              <w:spacing w:before="0" w:after="0" w:line="240" w:lineRule="auto"/>
              <w:jc w:val="left"/>
            </w:pPr>
            <w:r>
              <w:rPr>
                <w:rFonts w:ascii="Times New Roman" w:hAnsi="Times New Roman" w:cs="Times New Roman" w:eastAsia="Times New Roman"/>
                <w:b w:val="0"/>
                <w:i w:val="0"/>
                <w:sz w:val="20"/>
              </w:rPr>
              <w:t>Estudios multipaís (perspectiva regional latinoamericana)</w:t>
            </w:r>
          </w:p>
        </w:tc>
        <w:tc>
          <w:tcPr>
            <w:tcW w:type="dxa" w:w="3120"/>
          </w:tcPr>
          <w:p>
            <w:pPr>
              <w:spacing w:before="0" w:after="0" w:line="240" w:lineRule="auto"/>
              <w:jc w:val="left"/>
            </w:pPr>
            <w:r>
              <w:rPr>
                <w:rFonts w:ascii="Times New Roman" w:hAnsi="Times New Roman" w:cs="Times New Roman" w:eastAsia="Times New Roman"/>
                <w:b w:val="0"/>
                <w:i w:val="0"/>
                <w:sz w:val="20"/>
              </w:rPr>
              <w:t>11</w:t>
            </w:r>
          </w:p>
        </w:tc>
        <w:tc>
          <w:tcPr>
            <w:tcW w:type="dxa" w:w="3120"/>
          </w:tcPr>
          <w:p>
            <w:pPr>
              <w:spacing w:before="0" w:after="0" w:line="240" w:lineRule="auto"/>
              <w:jc w:val="left"/>
            </w:pPr>
            <w:r>
              <w:rPr>
                <w:rFonts w:ascii="Times New Roman" w:hAnsi="Times New Roman" w:cs="Times New Roman" w:eastAsia="Times New Roman"/>
                <w:b w:val="0"/>
                <w:i w:val="0"/>
                <w:sz w:val="20"/>
              </w:rPr>
              <w:t>18.6</w:t>
            </w:r>
          </w:p>
        </w:tc>
      </w:tr>
      <w:tr>
        <w:tc>
          <w:tcPr>
            <w:tcW w:type="dxa" w:w="3120"/>
          </w:tcPr>
          <w:p>
            <w:pPr>
              <w:spacing w:before="0" w:after="0" w:line="240" w:lineRule="auto"/>
              <w:jc w:val="left"/>
            </w:pPr>
            <w:r>
              <w:rPr>
                <w:rFonts w:ascii="Times New Roman" w:hAnsi="Times New Roman" w:cs="Times New Roman" w:eastAsia="Times New Roman"/>
                <w:b w:val="0"/>
                <w:i w:val="0"/>
                <w:sz w:val="20"/>
              </w:rPr>
              <w:t>Ecuador</w:t>
            </w:r>
          </w:p>
        </w:tc>
        <w:tc>
          <w:tcPr>
            <w:tcW w:type="dxa" w:w="3120"/>
          </w:tcPr>
          <w:p>
            <w:pPr>
              <w:spacing w:before="0" w:after="0" w:line="240" w:lineRule="auto"/>
              <w:jc w:val="left"/>
            </w:pPr>
            <w:r>
              <w:rPr>
                <w:rFonts w:ascii="Times New Roman" w:hAnsi="Times New Roman" w:cs="Times New Roman" w:eastAsia="Times New Roman"/>
                <w:b w:val="0"/>
                <w:i w:val="0"/>
                <w:sz w:val="20"/>
              </w:rPr>
              <w:t>6</w:t>
            </w:r>
          </w:p>
        </w:tc>
        <w:tc>
          <w:tcPr>
            <w:tcW w:type="dxa" w:w="3120"/>
          </w:tcPr>
          <w:p>
            <w:pPr>
              <w:spacing w:before="0" w:after="0" w:line="240" w:lineRule="auto"/>
              <w:jc w:val="left"/>
            </w:pPr>
            <w:r>
              <w:rPr>
                <w:rFonts w:ascii="Times New Roman" w:hAnsi="Times New Roman" w:cs="Times New Roman" w:eastAsia="Times New Roman"/>
                <w:b w:val="0"/>
                <w:i w:val="0"/>
                <w:sz w:val="20"/>
              </w:rPr>
              <w:t>10.2</w:t>
            </w:r>
          </w:p>
        </w:tc>
      </w:tr>
      <w:tr>
        <w:tc>
          <w:tcPr>
            <w:tcW w:type="dxa" w:w="3120"/>
          </w:tcPr>
          <w:p>
            <w:pPr>
              <w:spacing w:before="0" w:after="0" w:line="240" w:lineRule="auto"/>
              <w:jc w:val="left"/>
            </w:pPr>
            <w:r>
              <w:rPr>
                <w:rFonts w:ascii="Times New Roman" w:hAnsi="Times New Roman" w:cs="Times New Roman" w:eastAsia="Times New Roman"/>
                <w:b w:val="0"/>
                <w:i w:val="0"/>
                <w:sz w:val="20"/>
              </w:rPr>
              <w:t>Brasil</w:t>
            </w:r>
          </w:p>
        </w:tc>
        <w:tc>
          <w:tcPr>
            <w:tcW w:type="dxa" w:w="3120"/>
          </w:tcPr>
          <w:p>
            <w:pPr>
              <w:spacing w:before="0" w:after="0" w:line="240" w:lineRule="auto"/>
              <w:jc w:val="left"/>
            </w:pPr>
            <w:r>
              <w:rPr>
                <w:rFonts w:ascii="Times New Roman" w:hAnsi="Times New Roman" w:cs="Times New Roman" w:eastAsia="Times New Roman"/>
                <w:b w:val="0"/>
                <w:i w:val="0"/>
                <w:sz w:val="20"/>
              </w:rPr>
              <w:t>6</w:t>
            </w:r>
          </w:p>
        </w:tc>
        <w:tc>
          <w:tcPr>
            <w:tcW w:type="dxa" w:w="3120"/>
          </w:tcPr>
          <w:p>
            <w:pPr>
              <w:spacing w:before="0" w:after="0" w:line="240" w:lineRule="auto"/>
              <w:jc w:val="left"/>
            </w:pPr>
            <w:r>
              <w:rPr>
                <w:rFonts w:ascii="Times New Roman" w:hAnsi="Times New Roman" w:cs="Times New Roman" w:eastAsia="Times New Roman"/>
                <w:b w:val="0"/>
                <w:i w:val="0"/>
                <w:sz w:val="20"/>
              </w:rPr>
              <w:t>10.2</w:t>
            </w:r>
          </w:p>
        </w:tc>
      </w:tr>
      <w:tr>
        <w:tc>
          <w:tcPr>
            <w:tcW w:type="dxa" w:w="3120"/>
          </w:tcPr>
          <w:p>
            <w:pPr>
              <w:spacing w:before="0" w:after="0" w:line="240" w:lineRule="auto"/>
              <w:jc w:val="left"/>
            </w:pPr>
            <w:r>
              <w:rPr>
                <w:rFonts w:ascii="Times New Roman" w:hAnsi="Times New Roman" w:cs="Times New Roman" w:eastAsia="Times New Roman"/>
                <w:b w:val="0"/>
                <w:i w:val="0"/>
                <w:sz w:val="20"/>
              </w:rPr>
              <w:t>México</w:t>
            </w:r>
          </w:p>
        </w:tc>
        <w:tc>
          <w:tcPr>
            <w:tcW w:type="dxa" w:w="3120"/>
          </w:tcPr>
          <w:p>
            <w:pPr>
              <w:spacing w:before="0" w:after="0" w:line="240" w:lineRule="auto"/>
              <w:jc w:val="left"/>
            </w:pPr>
            <w:r>
              <w:rPr>
                <w:rFonts w:ascii="Times New Roman" w:hAnsi="Times New Roman" w:cs="Times New Roman" w:eastAsia="Times New Roman"/>
                <w:b w:val="0"/>
                <w:i w:val="0"/>
                <w:sz w:val="20"/>
              </w:rPr>
              <w:t>5</w:t>
            </w:r>
          </w:p>
        </w:tc>
        <w:tc>
          <w:tcPr>
            <w:tcW w:type="dxa" w:w="3120"/>
          </w:tcPr>
          <w:p>
            <w:pPr>
              <w:spacing w:before="0" w:after="0" w:line="240" w:lineRule="auto"/>
              <w:jc w:val="left"/>
            </w:pPr>
            <w:r>
              <w:rPr>
                <w:rFonts w:ascii="Times New Roman" w:hAnsi="Times New Roman" w:cs="Times New Roman" w:eastAsia="Times New Roman"/>
                <w:b w:val="0"/>
                <w:i w:val="0"/>
                <w:sz w:val="20"/>
              </w:rPr>
              <w:t>8.5</w:t>
            </w:r>
          </w:p>
        </w:tc>
      </w:tr>
      <w:tr>
        <w:tc>
          <w:tcPr>
            <w:tcW w:type="dxa" w:w="3120"/>
          </w:tcPr>
          <w:p>
            <w:pPr>
              <w:spacing w:before="0" w:after="0" w:line="240" w:lineRule="auto"/>
              <w:jc w:val="left"/>
            </w:pPr>
            <w:r>
              <w:rPr>
                <w:rFonts w:ascii="Times New Roman" w:hAnsi="Times New Roman" w:cs="Times New Roman" w:eastAsia="Times New Roman"/>
                <w:b w:val="0"/>
                <w:i w:val="0"/>
                <w:sz w:val="20"/>
              </w:rPr>
              <w:t>Perú</w:t>
            </w:r>
          </w:p>
        </w:tc>
        <w:tc>
          <w:tcPr>
            <w:tcW w:type="dxa" w:w="3120"/>
          </w:tcPr>
          <w:p>
            <w:pPr>
              <w:spacing w:before="0" w:after="0" w:line="240" w:lineRule="auto"/>
              <w:jc w:val="left"/>
            </w:pPr>
            <w:r>
              <w:rPr>
                <w:rFonts w:ascii="Times New Roman" w:hAnsi="Times New Roman" w:cs="Times New Roman" w:eastAsia="Times New Roman"/>
                <w:b w:val="0"/>
                <w:i w:val="0"/>
                <w:sz w:val="20"/>
              </w:rPr>
              <w:t>5</w:t>
            </w:r>
          </w:p>
        </w:tc>
        <w:tc>
          <w:tcPr>
            <w:tcW w:type="dxa" w:w="3120"/>
          </w:tcPr>
          <w:p>
            <w:pPr>
              <w:spacing w:before="0" w:after="0" w:line="240" w:lineRule="auto"/>
              <w:jc w:val="left"/>
            </w:pPr>
            <w:r>
              <w:rPr>
                <w:rFonts w:ascii="Times New Roman" w:hAnsi="Times New Roman" w:cs="Times New Roman" w:eastAsia="Times New Roman"/>
                <w:b w:val="0"/>
                <w:i w:val="0"/>
                <w:sz w:val="20"/>
              </w:rPr>
              <w:t>8.5</w:t>
            </w:r>
          </w:p>
        </w:tc>
      </w:tr>
      <w:tr>
        <w:tc>
          <w:tcPr>
            <w:tcW w:type="dxa" w:w="3120"/>
          </w:tcPr>
          <w:p>
            <w:pPr>
              <w:spacing w:before="0" w:after="0" w:line="240" w:lineRule="auto"/>
              <w:jc w:val="left"/>
            </w:pPr>
            <w:r>
              <w:rPr>
                <w:rFonts w:ascii="Times New Roman" w:hAnsi="Times New Roman" w:cs="Times New Roman" w:eastAsia="Times New Roman"/>
                <w:b w:val="0"/>
                <w:i w:val="0"/>
                <w:sz w:val="20"/>
              </w:rPr>
              <w:t>Colombia</w:t>
            </w:r>
          </w:p>
        </w:tc>
        <w:tc>
          <w:tcPr>
            <w:tcW w:type="dxa" w:w="3120"/>
          </w:tcPr>
          <w:p>
            <w:pPr>
              <w:spacing w:before="0" w:after="0" w:line="240" w:lineRule="auto"/>
              <w:jc w:val="left"/>
            </w:pPr>
            <w:r>
              <w:rPr>
                <w:rFonts w:ascii="Times New Roman" w:hAnsi="Times New Roman" w:cs="Times New Roman" w:eastAsia="Times New Roman"/>
                <w:b w:val="0"/>
                <w:i w:val="0"/>
                <w:sz w:val="20"/>
              </w:rPr>
              <w:t>5</w:t>
            </w:r>
          </w:p>
        </w:tc>
        <w:tc>
          <w:tcPr>
            <w:tcW w:type="dxa" w:w="3120"/>
          </w:tcPr>
          <w:p>
            <w:pPr>
              <w:spacing w:before="0" w:after="0" w:line="240" w:lineRule="auto"/>
              <w:jc w:val="left"/>
            </w:pPr>
            <w:r>
              <w:rPr>
                <w:rFonts w:ascii="Times New Roman" w:hAnsi="Times New Roman" w:cs="Times New Roman" w:eastAsia="Times New Roman"/>
                <w:b w:val="0"/>
                <w:i w:val="0"/>
                <w:sz w:val="20"/>
              </w:rPr>
              <w:t>8.5</w:t>
            </w:r>
          </w:p>
        </w:tc>
      </w:tr>
      <w:tr>
        <w:tc>
          <w:tcPr>
            <w:tcW w:type="dxa" w:w="3120"/>
          </w:tcPr>
          <w:p>
            <w:pPr>
              <w:spacing w:before="0" w:after="0" w:line="240" w:lineRule="auto"/>
              <w:jc w:val="left"/>
            </w:pPr>
            <w:r>
              <w:rPr>
                <w:rFonts w:ascii="Times New Roman" w:hAnsi="Times New Roman" w:cs="Times New Roman" w:eastAsia="Times New Roman"/>
                <w:b w:val="0"/>
                <w:i w:val="0"/>
                <w:sz w:val="20"/>
              </w:rPr>
              <w:t>Producción desde EU sobre América Latina</w:t>
            </w:r>
          </w:p>
        </w:tc>
        <w:tc>
          <w:tcPr>
            <w:tcW w:type="dxa" w:w="3120"/>
          </w:tcPr>
          <w:p>
            <w:pPr>
              <w:spacing w:before="0" w:after="0" w:line="240" w:lineRule="auto"/>
              <w:jc w:val="left"/>
            </w:pPr>
            <w:r>
              <w:rPr>
                <w:rFonts w:ascii="Times New Roman" w:hAnsi="Times New Roman" w:cs="Times New Roman" w:eastAsia="Times New Roman"/>
                <w:b w:val="0"/>
                <w:i w:val="0"/>
                <w:sz w:val="20"/>
              </w:rPr>
              <w:t>5</w:t>
            </w:r>
          </w:p>
        </w:tc>
        <w:tc>
          <w:tcPr>
            <w:tcW w:type="dxa" w:w="3120"/>
          </w:tcPr>
          <w:p>
            <w:pPr>
              <w:spacing w:before="0" w:after="0" w:line="240" w:lineRule="auto"/>
              <w:jc w:val="left"/>
            </w:pPr>
            <w:r>
              <w:rPr>
                <w:rFonts w:ascii="Times New Roman" w:hAnsi="Times New Roman" w:cs="Times New Roman" w:eastAsia="Times New Roman"/>
                <w:b w:val="0"/>
                <w:i w:val="0"/>
                <w:sz w:val="20"/>
              </w:rPr>
              <w:t>8.5</w:t>
            </w:r>
          </w:p>
        </w:tc>
      </w:tr>
      <w:tr>
        <w:tc>
          <w:tcPr>
            <w:tcW w:type="dxa" w:w="3120"/>
          </w:tcPr>
          <w:p>
            <w:pPr>
              <w:spacing w:before="0" w:after="0" w:line="240" w:lineRule="auto"/>
              <w:jc w:val="left"/>
            </w:pPr>
            <w:r>
              <w:rPr>
                <w:rFonts w:ascii="Times New Roman" w:hAnsi="Times New Roman" w:cs="Times New Roman" w:eastAsia="Times New Roman"/>
                <w:b w:val="0"/>
                <w:i w:val="0"/>
                <w:sz w:val="20"/>
              </w:rPr>
              <w:t>Chile</w:t>
            </w:r>
          </w:p>
        </w:tc>
        <w:tc>
          <w:tcPr>
            <w:tcW w:type="dxa" w:w="3120"/>
          </w:tcPr>
          <w:p>
            <w:pPr>
              <w:spacing w:before="0" w:after="0" w:line="240" w:lineRule="auto"/>
              <w:jc w:val="left"/>
            </w:pPr>
            <w:r>
              <w:rPr>
                <w:rFonts w:ascii="Times New Roman" w:hAnsi="Times New Roman" w:cs="Times New Roman" w:eastAsia="Times New Roman"/>
                <w:b w:val="0"/>
                <w:i w:val="0"/>
                <w:sz w:val="20"/>
              </w:rPr>
              <w:t>3</w:t>
            </w:r>
          </w:p>
        </w:tc>
        <w:tc>
          <w:tcPr>
            <w:tcW w:type="dxa" w:w="3120"/>
          </w:tcPr>
          <w:p>
            <w:pPr>
              <w:spacing w:before="0" w:after="0" w:line="240" w:lineRule="auto"/>
              <w:jc w:val="left"/>
            </w:pPr>
            <w:r>
              <w:rPr>
                <w:rFonts w:ascii="Times New Roman" w:hAnsi="Times New Roman" w:cs="Times New Roman" w:eastAsia="Times New Roman"/>
                <w:b w:val="0"/>
                <w:i w:val="0"/>
                <w:sz w:val="20"/>
              </w:rPr>
              <w:t>5.1</w:t>
            </w:r>
          </w:p>
        </w:tc>
      </w:tr>
      <w:tr>
        <w:tc>
          <w:tcPr>
            <w:tcW w:type="dxa" w:w="3120"/>
          </w:tcPr>
          <w:p>
            <w:pPr>
              <w:spacing w:before="0" w:after="0" w:line="240" w:lineRule="auto"/>
              <w:jc w:val="left"/>
            </w:pPr>
            <w:r>
              <w:rPr>
                <w:rFonts w:ascii="Times New Roman" w:hAnsi="Times New Roman" w:cs="Times New Roman" w:eastAsia="Times New Roman"/>
                <w:b w:val="0"/>
                <w:i w:val="0"/>
                <w:sz w:val="20"/>
              </w:rPr>
              <w:t>Otros países de América Latina</w:t>
            </w:r>
          </w:p>
        </w:tc>
        <w:tc>
          <w:tcPr>
            <w:tcW w:type="dxa" w:w="3120"/>
          </w:tcPr>
          <w:p>
            <w:pPr>
              <w:spacing w:before="0" w:after="0" w:line="240" w:lineRule="auto"/>
              <w:jc w:val="left"/>
            </w:pPr>
            <w:r>
              <w:rPr>
                <w:rFonts w:ascii="Times New Roman" w:hAnsi="Times New Roman" w:cs="Times New Roman" w:eastAsia="Times New Roman"/>
                <w:b w:val="0"/>
                <w:i w:val="0"/>
                <w:sz w:val="20"/>
              </w:rPr>
              <w:t>6</w:t>
            </w:r>
          </w:p>
        </w:tc>
        <w:tc>
          <w:tcPr>
            <w:tcW w:type="dxa" w:w="3120"/>
          </w:tcPr>
          <w:p>
            <w:pPr>
              <w:spacing w:before="0" w:after="0" w:line="240" w:lineRule="auto"/>
              <w:jc w:val="left"/>
            </w:pPr>
            <w:r>
              <w:rPr>
                <w:rFonts w:ascii="Times New Roman" w:hAnsi="Times New Roman" w:cs="Times New Roman" w:eastAsia="Times New Roman"/>
                <w:b w:val="0"/>
                <w:i w:val="0"/>
                <w:sz w:val="20"/>
              </w:rPr>
              <w:t>10.2</w:t>
            </w:r>
          </w:p>
        </w:tc>
      </w:tr>
      <w:tr>
        <w:tc>
          <w:tcPr>
            <w:tcW w:type="dxa" w:w="3120"/>
          </w:tcPr>
          <w:p>
            <w:pPr>
              <w:spacing w:before="0" w:after="0" w:line="240" w:lineRule="auto"/>
              <w:jc w:val="left"/>
            </w:pPr>
            <w:r>
              <w:rPr>
                <w:rFonts w:ascii="Times New Roman" w:hAnsi="Times New Roman" w:cs="Times New Roman" w:eastAsia="Times New Roman"/>
                <w:b w:val="0"/>
                <w:i w:val="0"/>
                <w:sz w:val="20"/>
              </w:rPr>
              <w:t>Sin contexto latinoamericano específico / global</w:t>
            </w:r>
          </w:p>
        </w:tc>
        <w:tc>
          <w:tcPr>
            <w:tcW w:type="dxa" w:w="3120"/>
          </w:tcPr>
          <w:p>
            <w:pPr>
              <w:spacing w:before="0" w:after="0" w:line="240" w:lineRule="auto"/>
              <w:jc w:val="left"/>
            </w:pPr>
            <w:r>
              <w:rPr>
                <w:rFonts w:ascii="Times New Roman" w:hAnsi="Times New Roman" w:cs="Times New Roman" w:eastAsia="Times New Roman"/>
                <w:b w:val="0"/>
                <w:i w:val="0"/>
                <w:sz w:val="20"/>
              </w:rPr>
              <w:t>7</w:t>
            </w:r>
          </w:p>
        </w:tc>
        <w:tc>
          <w:tcPr>
            <w:tcW w:type="dxa" w:w="3120"/>
          </w:tcPr>
          <w:p>
            <w:pPr>
              <w:spacing w:before="0" w:after="0" w:line="240" w:lineRule="auto"/>
              <w:jc w:val="left"/>
            </w:pPr>
            <w:r>
              <w:rPr>
                <w:rFonts w:ascii="Times New Roman" w:hAnsi="Times New Roman" w:cs="Times New Roman" w:eastAsia="Times New Roman"/>
                <w:b w:val="0"/>
                <w:i w:val="0"/>
                <w:sz w:val="20"/>
              </w:rPr>
              <w:t>11.9</w:t>
            </w:r>
          </w:p>
        </w:tc>
      </w:tr>
      <w:tr>
        <w:tc>
          <w:tcPr>
            <w:tcW w:type="dxa" w:w="3120"/>
          </w:tcPr>
          <w:p>
            <w:pPr>
              <w:spacing w:before="0" w:after="0" w:line="240" w:lineRule="auto"/>
              <w:jc w:val="left"/>
            </w:pPr>
            <w:r>
              <w:rPr>
                <w:rFonts w:ascii="Times New Roman" w:hAnsi="Times New Roman" w:cs="Times New Roman" w:eastAsia="Times New Roman"/>
                <w:b w:val="0"/>
                <w:i w:val="0"/>
                <w:sz w:val="20"/>
              </w:rPr>
              <w:t>TOTAL</w:t>
            </w:r>
          </w:p>
        </w:tc>
        <w:tc>
          <w:tcPr>
            <w:tcW w:type="dxa" w:w="3120"/>
          </w:tcPr>
          <w:p>
            <w:pPr>
              <w:spacing w:before="0" w:after="0" w:line="240" w:lineRule="auto"/>
              <w:jc w:val="left"/>
            </w:pPr>
            <w:r>
              <w:rPr>
                <w:rFonts w:ascii="Times New Roman" w:hAnsi="Times New Roman" w:cs="Times New Roman" w:eastAsia="Times New Roman"/>
                <w:b w:val="0"/>
                <w:i w:val="0"/>
                <w:sz w:val="20"/>
              </w:rPr>
              <w:t>59</w:t>
            </w:r>
          </w:p>
        </w:tc>
        <w:tc>
          <w:tcPr>
            <w:tcW w:type="dxa" w:w="3120"/>
          </w:tcPr>
          <w:p>
            <w:pPr>
              <w:spacing w:before="0" w:after="0" w:line="240" w:lineRule="auto"/>
              <w:jc w:val="left"/>
            </w:pPr>
            <w:r>
              <w:rPr>
                <w:rFonts w:ascii="Times New Roman" w:hAnsi="Times New Roman" w:cs="Times New Roman" w:eastAsia="Times New Roman"/>
                <w:b w:val="0"/>
                <w:i w:val="0"/>
                <w:sz w:val="20"/>
              </w:rPr>
              <w:t>100.0</w:t>
            </w:r>
          </w:p>
        </w:tc>
      </w:tr>
    </w:tbl>
    <w:p>
      <w:pPr>
        <w:spacing w:before="80" w:after="240" w:line="240" w:lineRule="auto"/>
        <w:jc w:val="left"/>
      </w:pPr>
      <w:r>
        <w:rPr>
          <w:rFonts w:ascii="Times New Roman" w:hAnsi="Times New Roman" w:cs="Times New Roman" w:eastAsia="Times New Roman"/>
          <w:b w:val="0"/>
          <w:i/>
          <w:sz w:val="20"/>
        </w:rPr>
        <w:t xml:space="preserve"> Paraguay (1, 1.7%), República Dominicana (1, 1.7%), Cuba (1, 1.7%), Uruguay (1, 1.7%), Costa Rica (1, 1.7%), Bolivia (1, 1.7%). Fuente: elaboración propia.</w:t>
      </w:r>
    </w:p>
    <w:p>
      <w:pPr>
        <w:keepNext/>
        <w:spacing w:before="0" w:after="0" w:line="360" w:lineRule="auto"/>
        <w:jc w:val="left"/>
      </w:pPr>
      <w:r>
        <w:rPr>
          <w:rFonts w:ascii="Times New Roman" w:hAnsi="Times New Roman" w:cs="Times New Roman" w:eastAsia="Times New Roman"/>
          <w:b/>
          <w:i w:val="0"/>
          <w:sz w:val="24"/>
        </w:rPr>
        <w:t>Tabla 2.</w:t>
      </w:r>
    </w:p>
    <w:p>
      <w:pPr>
        <w:keepNext/>
        <w:spacing w:before="0" w:after="120" w:line="360" w:lineRule="auto"/>
        <w:jc w:val="left"/>
      </w:pPr>
      <w:r>
        <w:rPr>
          <w:rFonts w:ascii="Times New Roman" w:hAnsi="Times New Roman" w:cs="Times New Roman" w:eastAsia="Times New Roman"/>
          <w:b w:val="0"/>
          <w:i/>
          <w:sz w:val="24"/>
        </w:rPr>
        <w:t xml:space="preserve">Caracterización temática del </w:t>
      </w:r>
      <w:r>
        <w:rPr>
          <w:rFonts w:ascii="Times New Roman" w:hAnsi="Times New Roman" w:cs="Times New Roman" w:eastAsia="Times New Roman"/>
          <w:b w:val="0"/>
          <w:i w:val="0"/>
          <w:sz w:val="24"/>
        </w:rPr>
        <w:t>corpus</w:t>
      </w:r>
      <w:r>
        <w:rPr>
          <w:rFonts w:ascii="Times New Roman" w:hAnsi="Times New Roman" w:cs="Times New Roman" w:eastAsia="Times New Roman"/>
          <w:b w:val="0"/>
          <w:i/>
          <w:sz w:val="24"/>
        </w:rPr>
        <w:t xml:space="preserve"> (n = 59)</w:t>
      </w:r>
    </w:p>
    <w:tbl>
      <w:tblPr>
        <w:tblW w:type="auto" w:w="0"/>
        <w:tblLook w:firstColumn="1" w:firstRow="1" w:lastColumn="0" w:lastRow="0" w:noHBand="0" w:noVBand="1" w:val="04A0"/>
        <w:tblBorders>
          <w:top w:val="single" w:sz="4" w:color="000000"/>
          <w:bottom w:val="single" w:sz="4" w:color="000000"/>
          <w:insideH w:val="single" w:sz="4" w:color="000000"/>
        </w:tblBorders>
      </w:tblPr>
      <w:tblGrid>
        <w:gridCol w:w="3120"/>
        <w:gridCol w:w="3120"/>
        <w:gridCol w:w="3120"/>
      </w:tblGrid>
      <w:tr>
        <w:tc>
          <w:tcPr>
            <w:tcW w:type="dxa" w:w="3120"/>
          </w:tcPr>
          <w:p>
            <w:pPr>
              <w:spacing w:before="0" w:after="0" w:line="240" w:lineRule="auto"/>
              <w:jc w:val="left"/>
            </w:pPr>
            <w:r>
              <w:rPr>
                <w:rFonts w:ascii="Times New Roman" w:hAnsi="Times New Roman" w:cs="Times New Roman" w:eastAsia="Times New Roman"/>
                <w:b/>
                <w:i w:val="0"/>
                <w:sz w:val="20"/>
              </w:rPr>
              <w:t>Categoría analítica</w:t>
            </w:r>
          </w:p>
        </w:tc>
        <w:tc>
          <w:tcPr>
            <w:tcW w:type="dxa" w:w="3120"/>
          </w:tcPr>
          <w:p>
            <w:pPr>
              <w:spacing w:before="0" w:after="0" w:line="240" w:lineRule="auto"/>
              <w:jc w:val="left"/>
            </w:pPr>
            <w:r>
              <w:rPr>
                <w:rFonts w:ascii="Times New Roman" w:hAnsi="Times New Roman" w:cs="Times New Roman" w:eastAsia="Times New Roman"/>
                <w:b/>
                <w:i w:val="0"/>
                <w:sz w:val="20"/>
              </w:rPr>
              <w:t xml:space="preserve">Artículos representativos del </w:t>
            </w:r>
            <w:r>
              <w:rPr>
                <w:rFonts w:ascii="Times New Roman" w:hAnsi="Times New Roman" w:cs="Times New Roman" w:eastAsia="Times New Roman"/>
                <w:b/>
                <w:i/>
                <w:sz w:val="20"/>
              </w:rPr>
              <w:t>corpus</w:t>
            </w:r>
          </w:p>
        </w:tc>
        <w:tc>
          <w:tcPr>
            <w:tcW w:type="dxa" w:w="3120"/>
          </w:tcPr>
          <w:p>
            <w:pPr>
              <w:spacing w:before="0" w:after="0" w:line="240" w:lineRule="auto"/>
              <w:jc w:val="left"/>
            </w:pPr>
            <w:r>
              <w:rPr>
                <w:rFonts w:ascii="Times New Roman" w:hAnsi="Times New Roman" w:cs="Times New Roman" w:eastAsia="Times New Roman"/>
                <w:b/>
                <w:i w:val="0"/>
                <w:sz w:val="20"/>
              </w:rPr>
              <w:t>N</w:t>
            </w:r>
          </w:p>
        </w:tc>
      </w:tr>
      <w:tr>
        <w:tc>
          <w:tcPr>
            <w:tcW w:type="dxa" w:w="3120"/>
          </w:tcPr>
          <w:p>
            <w:pPr>
              <w:spacing w:before="0" w:after="0" w:line="240" w:lineRule="auto"/>
              <w:jc w:val="left"/>
            </w:pPr>
            <w:r>
              <w:rPr>
                <w:rFonts w:ascii="Times New Roman" w:hAnsi="Times New Roman" w:cs="Times New Roman" w:eastAsia="Times New Roman"/>
                <w:b w:val="0"/>
                <w:i w:val="0"/>
                <w:sz w:val="20"/>
              </w:rPr>
              <w:t>Adopción e integración de IA en educación superior</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Vargas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Gutiérrez-Leefmans et al. (2025); Castillo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González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Abbasi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3120"/>
          </w:tcPr>
          <w:p>
            <w:pPr>
              <w:spacing w:before="0" w:after="0" w:line="240" w:lineRule="auto"/>
              <w:jc w:val="left"/>
            </w:pPr>
            <w:r>
              <w:rPr>
                <w:rFonts w:ascii="Times New Roman" w:hAnsi="Times New Roman" w:cs="Times New Roman" w:eastAsia="Times New Roman"/>
                <w:b w:val="0"/>
                <w:i w:val="0"/>
                <w:sz w:val="20"/>
              </w:rPr>
              <w:t>17</w:t>
            </w:r>
          </w:p>
        </w:tc>
      </w:tr>
      <w:tr>
        <w:tc>
          <w:tcPr>
            <w:tcW w:type="dxa" w:w="3120"/>
          </w:tcPr>
          <w:p>
            <w:pPr>
              <w:spacing w:before="0" w:after="0" w:line="240" w:lineRule="auto"/>
              <w:jc w:val="left"/>
            </w:pPr>
            <w:r>
              <w:rPr>
                <w:rFonts w:ascii="Times New Roman" w:hAnsi="Times New Roman" w:cs="Times New Roman" w:eastAsia="Times New Roman"/>
                <w:b w:val="0"/>
                <w:i w:val="0"/>
                <w:sz w:val="20"/>
              </w:rPr>
              <w:t>Ética, gobernanza y política de IA educativa</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Mumtaz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Filgueiras (2025); Fernández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 Moya (2024)</w:t>
            </w:r>
          </w:p>
        </w:tc>
        <w:tc>
          <w:tcPr>
            <w:tcW w:type="dxa" w:w="3120"/>
          </w:tcPr>
          <w:p>
            <w:pPr>
              <w:spacing w:before="0" w:after="0" w:line="240" w:lineRule="auto"/>
              <w:jc w:val="left"/>
            </w:pPr>
            <w:r>
              <w:rPr>
                <w:rFonts w:ascii="Times New Roman" w:hAnsi="Times New Roman" w:cs="Times New Roman" w:eastAsia="Times New Roman"/>
                <w:b w:val="0"/>
                <w:i w:val="0"/>
                <w:sz w:val="20"/>
              </w:rPr>
              <w:t>10</w:t>
            </w:r>
          </w:p>
        </w:tc>
      </w:tr>
      <w:tr>
        <w:tc>
          <w:tcPr>
            <w:tcW w:type="dxa" w:w="3120"/>
          </w:tcPr>
          <w:p>
            <w:pPr>
              <w:spacing w:before="0" w:after="0" w:line="240" w:lineRule="auto"/>
              <w:jc w:val="left"/>
            </w:pPr>
            <w:r>
              <w:rPr>
                <w:rFonts w:ascii="Times New Roman" w:hAnsi="Times New Roman" w:cs="Times New Roman" w:eastAsia="Times New Roman"/>
                <w:b w:val="0"/>
                <w:i w:val="0"/>
                <w:sz w:val="20"/>
              </w:rPr>
              <w:t>Personalización, tutoría inteligente y analítica del aprendizaje</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Abbasi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Pérez y Pérez (2025); Mello-Roman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Flores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3120"/>
          </w:tcPr>
          <w:p>
            <w:pPr>
              <w:spacing w:before="0" w:after="0" w:line="240" w:lineRule="auto"/>
              <w:jc w:val="left"/>
            </w:pPr>
            <w:r>
              <w:rPr>
                <w:rFonts w:ascii="Times New Roman" w:hAnsi="Times New Roman" w:cs="Times New Roman" w:eastAsia="Times New Roman"/>
                <w:b w:val="0"/>
                <w:i w:val="0"/>
                <w:sz w:val="20"/>
              </w:rPr>
              <w:t>9</w:t>
            </w:r>
          </w:p>
        </w:tc>
      </w:tr>
      <w:tr>
        <w:tc>
          <w:tcPr>
            <w:tcW w:type="dxa" w:w="3120"/>
          </w:tcPr>
          <w:p>
            <w:pPr>
              <w:spacing w:before="0" w:after="0" w:line="240" w:lineRule="auto"/>
              <w:jc w:val="left"/>
            </w:pPr>
            <w:r>
              <w:rPr>
                <w:rFonts w:ascii="Times New Roman" w:hAnsi="Times New Roman" w:cs="Times New Roman" w:eastAsia="Times New Roman"/>
                <w:b w:val="0"/>
                <w:i w:val="0"/>
                <w:sz w:val="20"/>
              </w:rPr>
              <w:t>Pensamiento crítico, creatividad y usos pedagógicos de IA generativa</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Olaya y Bajaña (2025); Velázquez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Grajeda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 Silva-Atencio y Umana-Ramírez (2024)</w:t>
            </w:r>
          </w:p>
        </w:tc>
        <w:tc>
          <w:tcPr>
            <w:tcW w:type="dxa" w:w="3120"/>
          </w:tcPr>
          <w:p>
            <w:pPr>
              <w:spacing w:before="0" w:after="0" w:line="240" w:lineRule="auto"/>
              <w:jc w:val="left"/>
            </w:pPr>
            <w:r>
              <w:rPr>
                <w:rFonts w:ascii="Times New Roman" w:hAnsi="Times New Roman" w:cs="Times New Roman" w:eastAsia="Times New Roman"/>
                <w:b w:val="0"/>
                <w:i w:val="0"/>
                <w:sz w:val="20"/>
              </w:rPr>
              <w:t>8</w:t>
            </w:r>
          </w:p>
        </w:tc>
      </w:tr>
      <w:tr>
        <w:tc>
          <w:tcPr>
            <w:tcW w:type="dxa" w:w="3120"/>
          </w:tcPr>
          <w:p>
            <w:pPr>
              <w:spacing w:before="0" w:after="0" w:line="240" w:lineRule="auto"/>
              <w:jc w:val="left"/>
            </w:pPr>
            <w:r>
              <w:rPr>
                <w:rFonts w:ascii="Times New Roman" w:hAnsi="Times New Roman" w:cs="Times New Roman" w:eastAsia="Times New Roman"/>
                <w:b w:val="0"/>
                <w:i w:val="0"/>
                <w:sz w:val="20"/>
              </w:rPr>
              <w:t>Revisiones sistemáticas sobre IA y educación latinoamericana</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De la Torre y Baldeón (2024); Andrade-Girón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(2024); Ruiz-Ruiz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(2025)</w:t>
            </w:r>
          </w:p>
        </w:tc>
        <w:tc>
          <w:tcPr>
            <w:tcW w:type="dxa" w:w="3120"/>
          </w:tcPr>
          <w:p>
            <w:pPr>
              <w:spacing w:before="0" w:after="0" w:line="240" w:lineRule="auto"/>
              <w:jc w:val="left"/>
            </w:pPr>
            <w:r>
              <w:rPr>
                <w:rFonts w:ascii="Times New Roman" w:hAnsi="Times New Roman" w:cs="Times New Roman" w:eastAsia="Times New Roman"/>
                <w:b w:val="0"/>
                <w:i w:val="0"/>
                <w:sz w:val="20"/>
              </w:rPr>
              <w:t>6</w:t>
            </w:r>
          </w:p>
        </w:tc>
      </w:tr>
      <w:tr>
        <w:tc>
          <w:tcPr>
            <w:tcW w:type="dxa" w:w="3120"/>
          </w:tcPr>
          <w:p>
            <w:pPr>
              <w:spacing w:before="0" w:after="0" w:line="240" w:lineRule="auto"/>
              <w:jc w:val="left"/>
            </w:pPr>
            <w:r>
              <w:rPr>
                <w:rFonts w:ascii="Times New Roman" w:hAnsi="Times New Roman" w:cs="Times New Roman" w:eastAsia="Times New Roman"/>
                <w:b w:val="0"/>
                <w:i w:val="0"/>
                <w:sz w:val="20"/>
              </w:rPr>
              <w:t>Representaciones sociales, identidad y cultura digital</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Vite-León et al. (2024); Miralrio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 Palma y Elgueta (2024)</w:t>
            </w:r>
          </w:p>
        </w:tc>
        <w:tc>
          <w:tcPr>
            <w:tcW w:type="dxa" w:w="3120"/>
          </w:tcPr>
          <w:p>
            <w:pPr>
              <w:spacing w:before="0" w:after="0" w:line="240" w:lineRule="auto"/>
              <w:jc w:val="left"/>
            </w:pPr>
            <w:r>
              <w:rPr>
                <w:rFonts w:ascii="Times New Roman" w:hAnsi="Times New Roman" w:cs="Times New Roman" w:eastAsia="Times New Roman"/>
                <w:b w:val="0"/>
                <w:i w:val="0"/>
                <w:sz w:val="20"/>
              </w:rPr>
              <w:t>4</w:t>
            </w:r>
          </w:p>
        </w:tc>
      </w:tr>
      <w:tr>
        <w:tc>
          <w:tcPr>
            <w:tcW w:type="dxa" w:w="3120"/>
          </w:tcPr>
          <w:p>
            <w:pPr>
              <w:spacing w:before="0" w:after="0" w:line="240" w:lineRule="auto"/>
              <w:jc w:val="left"/>
            </w:pPr>
            <w:r>
              <w:rPr>
                <w:rFonts w:ascii="Times New Roman" w:hAnsi="Times New Roman" w:cs="Times New Roman" w:eastAsia="Times New Roman"/>
                <w:b w:val="0"/>
                <w:i w:val="0"/>
                <w:sz w:val="20"/>
              </w:rPr>
              <w:t>IA y equidad, acceso o desigualdad educativa</w:t>
            </w:r>
          </w:p>
        </w:tc>
        <w:tc>
          <w:tcPr>
            <w:tcW w:type="dxa" w:w="3120"/>
          </w:tcPr>
          <w:p>
            <w:pPr>
              <w:spacing w:before="0" w:after="0" w:line="240" w:lineRule="auto"/>
              <w:jc w:val="left"/>
            </w:pPr>
            <w:r>
              <w:rPr>
                <w:rFonts w:ascii="Times New Roman" w:hAnsi="Times New Roman" w:cs="Times New Roman" w:eastAsia="Times New Roman"/>
                <w:b w:val="0"/>
                <w:i w:val="0"/>
                <w:sz w:val="20"/>
              </w:rPr>
              <w:t xml:space="preserve">Rivadeneira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xml:space="preserve">. (2025); Fernández </w:t>
            </w:r>
            <w:r>
              <w:rPr>
                <w:rFonts w:ascii="Times New Roman" w:hAnsi="Times New Roman" w:cs="Times New Roman" w:eastAsia="Times New Roman"/>
                <w:b w:val="0"/>
                <w:i/>
                <w:sz w:val="20"/>
              </w:rPr>
              <w:t>et al</w:t>
            </w:r>
            <w:r>
              <w:rPr>
                <w:rFonts w:ascii="Times New Roman" w:hAnsi="Times New Roman" w:cs="Times New Roman" w:eastAsia="Times New Roman"/>
                <w:b w:val="0"/>
                <w:i w:val="0"/>
                <w:sz w:val="20"/>
              </w:rPr>
              <w:t>. (2024); Rodés y Motz (2024); Machado y Estupiñán (2024)</w:t>
            </w:r>
          </w:p>
        </w:tc>
        <w:tc>
          <w:tcPr>
            <w:tcW w:type="dxa" w:w="3120"/>
          </w:tcPr>
          <w:p>
            <w:pPr>
              <w:spacing w:before="0" w:after="0" w:line="240" w:lineRule="auto"/>
              <w:jc w:val="left"/>
            </w:pPr>
            <w:r>
              <w:rPr>
                <w:rFonts w:ascii="Times New Roman" w:hAnsi="Times New Roman" w:cs="Times New Roman" w:eastAsia="Times New Roman"/>
                <w:b w:val="0"/>
                <w:i w:val="0"/>
                <w:sz w:val="20"/>
              </w:rPr>
              <w:t>5</w:t>
            </w:r>
          </w:p>
        </w:tc>
      </w:tr>
      <w:tr>
        <w:tc>
          <w:tcPr>
            <w:tcW w:type="dxa" w:w="3120"/>
          </w:tcPr>
          <w:p>
            <w:pPr>
              <w:spacing w:before="0" w:after="0" w:line="240" w:lineRule="auto"/>
              <w:jc w:val="left"/>
            </w:pPr>
            <w:r>
              <w:rPr>
                <w:rFonts w:ascii="Times New Roman" w:hAnsi="Times New Roman" w:cs="Times New Roman" w:eastAsia="Times New Roman"/>
                <w:b w:val="0"/>
                <w:i w:val="0"/>
                <w:sz w:val="20"/>
              </w:rPr>
              <w:t>TOTAL</w:t>
            </w:r>
          </w:p>
        </w:tc>
        <w:tc>
          <w:tcPr>
            <w:tcW w:type="dxa" w:w="3120"/>
          </w:tcPr>
          <w:p>
            <w:pPr>
              <w:spacing w:before="0" w:after="0" w:line="240" w:lineRule="auto"/>
              <w:jc w:val="left"/>
            </w:pPr>
          </w:p>
        </w:tc>
        <w:tc>
          <w:tcPr>
            <w:tcW w:type="dxa" w:w="3120"/>
          </w:tcPr>
          <w:p>
            <w:pPr>
              <w:spacing w:before="0" w:after="0" w:line="240" w:lineRule="auto"/>
              <w:jc w:val="left"/>
            </w:pPr>
            <w:r>
              <w:rPr>
                <w:rFonts w:ascii="Times New Roman" w:hAnsi="Times New Roman" w:cs="Times New Roman" w:eastAsia="Times New Roman"/>
                <w:b w:val="0"/>
                <w:i w:val="0"/>
                <w:sz w:val="20"/>
              </w:rPr>
              <w:t>59</w:t>
            </w:r>
          </w:p>
        </w:tc>
      </w:tr>
    </w:tbl>
    <w:p>
      <w:pPr>
        <w:spacing w:before="80" w:after="240" w:line="240" w:lineRule="auto"/>
        <w:jc w:val="left"/>
      </w:pPr>
      <w:r>
        <w:rPr>
          <w:rFonts w:ascii="Times New Roman" w:hAnsi="Times New Roman" w:cs="Times New Roman" w:eastAsia="Times New Roman"/>
          <w:b w:val="0"/>
          <w:i w:val="0"/>
          <w:sz w:val="20"/>
        </w:rPr>
        <w:t xml:space="preserve">Nota. En cada categoría se citan los artículos más representativos. Las referencias completas de los 59 artículos del </w:t>
      </w:r>
      <w:r>
        <w:rPr>
          <w:rFonts w:ascii="Times New Roman" w:hAnsi="Times New Roman" w:cs="Times New Roman" w:eastAsia="Times New Roman"/>
          <w:b w:val="0"/>
          <w:i/>
          <w:sz w:val="20"/>
        </w:rPr>
        <w:t>corpus</w:t>
      </w:r>
      <w:r>
        <w:rPr>
          <w:rFonts w:ascii="Times New Roman" w:hAnsi="Times New Roman" w:cs="Times New Roman" w:eastAsia="Times New Roman"/>
          <w:b w:val="0"/>
          <w:i w:val="0"/>
          <w:sz w:val="20"/>
        </w:rPr>
        <w:t xml:space="preserve"> están disponibles como material suplementario. Fuente: elaboración propia.</w:t>
      </w:r>
    </w:p>
    <w:p>
      <w:pPr>
        <w:spacing w:before="0" w:after="160" w:line="360" w:lineRule="auto"/>
        <w:ind w:firstLine="720"/>
        <w:jc w:val="both"/>
      </w:pPr>
      <w:r>
        <w:rPr>
          <w:rFonts w:ascii="Times New Roman" w:hAnsi="Times New Roman" w:cs="Times New Roman" w:eastAsia="Times New Roman"/>
          <w:b w:val="0"/>
          <w:i w:val="0"/>
          <w:sz w:val="24"/>
        </w:rPr>
        <w:t xml:space="preserve">El análisis temático revela que 57 artículos (96.6%) mencionan de forma explícita “inteligencia artificial”; 54 (91.5%) refieren a “educación”, y 32 (54.2%) se enfocan en educación superior. Sin embargo, sólo siete (11.9%) abordan “equidad”, “desigualdad” o “brecha”, mientras que apenas ocho (13.6%) tienen América Latina como contexto central. La tabla 2 presenta la caracterización temática del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organizando los 59 artículos en categorías analíticas con sus referencias representativas.</w:t>
      </w:r>
    </w:p>
    <w:p>
      <w:pPr>
        <w:keepNext/>
        <w:spacing w:before="320" w:after="160" w:line="360" w:lineRule="auto"/>
        <w:jc w:val="left"/>
      </w:pPr>
      <w:r>
        <w:rPr>
          <w:rFonts w:ascii="Times New Roman" w:hAnsi="Times New Roman" w:cs="Times New Roman" w:eastAsia="Times New Roman"/>
          <w:b/>
          <w:i/>
          <w:sz w:val="24"/>
        </w:rPr>
        <w:t>Discursos dominantes</w:t>
      </w:r>
    </w:p>
    <w:p>
      <w:pPr>
        <w:spacing w:before="0" w:after="160" w:line="360" w:lineRule="auto"/>
        <w:ind w:firstLine="720"/>
        <w:jc w:val="both"/>
      </w:pPr>
      <w:r>
        <w:rPr>
          <w:rFonts w:ascii="Times New Roman" w:hAnsi="Times New Roman" w:cs="Times New Roman" w:eastAsia="Times New Roman"/>
          <w:b w:val="0"/>
          <w:i w:val="0"/>
          <w:sz w:val="24"/>
        </w:rPr>
        <w:t xml:space="preserve">La literatura articula, sobre todo, tres promesas. La primera es la personalización del aprendizaje. Abbasi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(2025) argumentan que los sistemas inteligentes permitirían adaptar contenidos, metodologías y ritmos a las necesidades individuales. Sin embargo, esta narrativa encubre supuestos problemáticos. Primero, asume acceso universal a dispositivos y conectividad, condición falsa, donde el 40% de los hogares carecen de internet de calidad ( CEPAL, 2024). Segundo, la personalización algorítmica requiere grandes volúmenes de datos individuales; los estudiantes de escuelas con escasa infraestructura generan información insuficiente y quedan excluidos.</w:t>
      </w:r>
    </w:p>
    <w:p>
      <w:pPr>
        <w:spacing w:before="0" w:after="160" w:line="360" w:lineRule="auto"/>
        <w:ind w:firstLine="720"/>
        <w:jc w:val="both"/>
      </w:pPr>
      <w:r>
        <w:rPr>
          <w:rFonts w:ascii="Times New Roman" w:hAnsi="Times New Roman" w:cs="Times New Roman" w:eastAsia="Times New Roman"/>
          <w:b w:val="0"/>
          <w:i w:val="0"/>
          <w:sz w:val="24"/>
        </w:rPr>
        <w:t xml:space="preserve">La segunda promesa se refiere a la innovación en la </w:t>
      </w:r>
      <w:r>
        <w:rPr>
          <w:rFonts w:ascii="Times New Roman" w:hAnsi="Times New Roman" w:cs="Times New Roman" w:eastAsia="Times New Roman"/>
          <w:b w:val="0"/>
          <w:i/>
          <w:sz w:val="24"/>
        </w:rPr>
        <w:t>educación superior</w:t>
      </w:r>
      <w:r>
        <w:rPr>
          <w:rFonts w:ascii="Times New Roman" w:hAnsi="Times New Roman" w:cs="Times New Roman" w:eastAsia="Times New Roman"/>
          <w:b w:val="0"/>
          <w:i w:val="0"/>
          <w:sz w:val="24"/>
        </w:rPr>
        <w:t xml:space="preserve">. Múltiples estudios documentan la adopción acelerada de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en universidades latinoamericanas. Vargas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(2025) identifican la “ventaja relativa” y la “compatibilidad” como los principales impulsores de la adopción institucional. No obstante, estos estudios evidencian una tendencia preocupante: un énfasis en la “competitividad institucional” y la “eficiencia”, mientras que la equidad queda al margen (Fernández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2024).</w:t>
      </w:r>
    </w:p>
    <w:p>
      <w:pPr>
        <w:spacing w:before="0" w:after="160" w:line="360" w:lineRule="auto"/>
        <w:ind w:firstLine="720"/>
        <w:jc w:val="both"/>
      </w:pPr>
      <w:r>
        <w:rPr>
          <w:rFonts w:ascii="Times New Roman" w:hAnsi="Times New Roman" w:cs="Times New Roman" w:eastAsia="Times New Roman"/>
          <w:b w:val="0"/>
          <w:i w:val="0"/>
          <w:sz w:val="24"/>
        </w:rPr>
        <w:t xml:space="preserve">La tercera promesa vincula </w:t>
      </w:r>
      <w:r>
        <w:rPr>
          <w:rFonts w:ascii="Times New Roman" w:hAnsi="Times New Roman" w:cs="Times New Roman" w:eastAsia="Times New Roman"/>
          <w:b w:val="0"/>
          <w:i/>
          <w:sz w:val="24"/>
        </w:rPr>
        <w:t>la evaluación y la analítica del aprendizaje</w:t>
      </w:r>
      <w:r>
        <w:rPr>
          <w:rFonts w:ascii="Times New Roman" w:hAnsi="Times New Roman" w:cs="Times New Roman" w:eastAsia="Times New Roman"/>
          <w:b w:val="0"/>
          <w:i w:val="0"/>
          <w:sz w:val="24"/>
        </w:rPr>
        <w:t xml:space="preserve">. Mello-Roman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(2025) utilizan </w:t>
      </w:r>
      <w:r>
        <w:rPr>
          <w:rFonts w:ascii="Times New Roman" w:hAnsi="Times New Roman" w:cs="Times New Roman" w:eastAsia="Times New Roman"/>
          <w:b w:val="0"/>
          <w:i/>
          <w:sz w:val="24"/>
        </w:rPr>
        <w:t>el machine learning</w:t>
      </w:r>
      <w:r>
        <w:rPr>
          <w:rFonts w:ascii="Times New Roman" w:hAnsi="Times New Roman" w:cs="Times New Roman" w:eastAsia="Times New Roman"/>
          <w:b w:val="0"/>
          <w:i w:val="0"/>
          <w:sz w:val="24"/>
        </w:rPr>
        <w:t xml:space="preserve"> para predecir los factores de abandono en Paraguay. Sin embargo, no abordan las implicaciones éticas del perfilamiento algorítmico. Como advierte Taylor (2017), estos sistemas generan “profecías autocumplidas”: si un estudiante es etiquetado como de alto riesgo, podría recibir menor atención, lo que confirma la predicción inicial.</w:t>
      </w:r>
    </w:p>
    <w:p>
      <w:pPr>
        <w:keepNext/>
        <w:spacing w:before="320" w:after="160" w:line="360" w:lineRule="auto"/>
        <w:jc w:val="left"/>
      </w:pPr>
      <w:r>
        <w:rPr>
          <w:rFonts w:ascii="Times New Roman" w:hAnsi="Times New Roman" w:cs="Times New Roman" w:eastAsia="Times New Roman"/>
          <w:b/>
          <w:i/>
          <w:sz w:val="24"/>
        </w:rPr>
        <w:t>La gran ausencia: grupos vulnerables</w:t>
      </w:r>
    </w:p>
    <w:p>
      <w:pPr>
        <w:spacing w:before="0" w:after="160" w:line="360" w:lineRule="auto"/>
        <w:ind w:firstLine="720"/>
        <w:jc w:val="both"/>
      </w:pPr>
      <w:r>
        <w:rPr>
          <w:rFonts w:ascii="Times New Roman" w:hAnsi="Times New Roman" w:cs="Times New Roman" w:eastAsia="Times New Roman"/>
          <w:b w:val="0"/>
          <w:i w:val="0"/>
          <w:sz w:val="24"/>
        </w:rPr>
        <w:t>El hallazgo más revelador es aquello que la literatura no investiga. Realizamos un análisis sistemático para identificar menciones a poblaciones históricamente excluidas. Los resultados evidencian invisibilización: estudiantes rurales mencionados en apenas dos artículos (3.4%); poblaciones indígenas ausentes (0%); migrantes y refugiados completamente invisibles (0%); personas con discapacidad mencionadas tangencialmente en un artículo (1.7%); perspectiva de hombres y mujeres presente en sólo tres artículos (5.1%).</w:t>
      </w:r>
    </w:p>
    <w:p>
      <w:pPr>
        <w:spacing w:before="0" w:after="160" w:line="360" w:lineRule="auto"/>
        <w:ind w:firstLine="720"/>
        <w:jc w:val="both"/>
      </w:pPr>
      <w:r>
        <w:rPr>
          <w:rFonts w:ascii="Times New Roman" w:hAnsi="Times New Roman" w:cs="Times New Roman" w:eastAsia="Times New Roman"/>
          <w:b w:val="0"/>
          <w:i w:val="0"/>
          <w:sz w:val="24"/>
        </w:rPr>
        <w:t>Esta invisibilización tiene implicaciones profundas. Si la investigación académica no considera cómo la IA afecta de manera diferencial a los pueblos indígenas, las herramientas desarrolladas reproducirán sesgos contra estas poblaciones. Si no se estudia cómo los estudiantes en migración forzada podrían acceder a la educación mediada por IA, estas tecnologías se diseñarán para “estudiantes promedio” estables territorialmente, lo que excluye por diseño a millones de personas en movilidad.</w:t>
      </w:r>
    </w:p>
    <w:p>
      <w:pPr>
        <w:keepNext/>
        <w:spacing w:before="480" w:after="160" w:line="360" w:lineRule="auto"/>
        <w:jc w:val="center"/>
      </w:pPr>
      <w:r>
        <w:rPr>
          <w:rFonts w:ascii="Times New Roman" w:hAnsi="Times New Roman" w:cs="Times New Roman" w:eastAsia="Times New Roman"/>
          <w:b/>
          <w:i w:val="0"/>
          <w:sz w:val="24"/>
        </w:rPr>
        <w:t>ANÁLISIS CRÍTICO: TRES CONTRADICCIONES FUNDAMENTALES</w:t>
      </w:r>
    </w:p>
    <w:p>
      <w:pPr>
        <w:keepNext/>
        <w:spacing w:before="320" w:after="160" w:line="360" w:lineRule="auto"/>
        <w:jc w:val="left"/>
      </w:pPr>
      <w:r>
        <w:rPr>
          <w:rFonts w:ascii="Times New Roman" w:hAnsi="Times New Roman" w:cs="Times New Roman" w:eastAsia="Times New Roman"/>
          <w:b/>
          <w:i/>
          <w:sz w:val="24"/>
        </w:rPr>
        <w:t>Contradicción de personalización: promesas versus estandarización algorítmica</w:t>
      </w:r>
    </w:p>
    <w:p>
      <w:pPr>
        <w:spacing w:before="0" w:after="160" w:line="360" w:lineRule="auto"/>
        <w:ind w:firstLine="720"/>
        <w:jc w:val="both"/>
      </w:pPr>
      <w:r>
        <w:rPr>
          <w:rFonts w:ascii="Times New Roman" w:hAnsi="Times New Roman" w:cs="Times New Roman" w:eastAsia="Times New Roman"/>
          <w:b w:val="0"/>
          <w:i w:val="0"/>
          <w:sz w:val="24"/>
        </w:rPr>
        <w:t xml:space="preserve">La promesa más celebrada es la de la personalización radical. Sin embargo, el examen crítico revela que los sistemas operan mediante la estandarización algorítmica. Como documentan Grajeda </w:t>
      </w:r>
      <w:r>
        <w:rPr>
          <w:rFonts w:ascii="Times New Roman" w:hAnsi="Times New Roman" w:cs="Times New Roman" w:eastAsia="Times New Roman"/>
          <w:b w:val="0"/>
          <w:i/>
          <w:sz w:val="24"/>
        </w:rPr>
        <w:t>et al.</w:t>
      </w:r>
    </w:p>
    <w:p>
      <w:pPr>
        <w:spacing w:before="0" w:after="160" w:line="360" w:lineRule="auto"/>
        <w:ind w:firstLine="720"/>
        <w:jc w:val="both"/>
      </w:pPr>
      <w:r>
        <w:rPr>
          <w:rFonts w:ascii="Times New Roman" w:hAnsi="Times New Roman" w:cs="Times New Roman" w:eastAsia="Times New Roman"/>
          <w:b w:val="0"/>
          <w:i w:val="0"/>
          <w:sz w:val="24"/>
        </w:rPr>
        <w:t>(2024), los sistemas reproducen con frecuencia modelos transmisivos: los estudiantes consumen contenidos generados por IA en lugar de dialogar con los docentes.</w:t>
      </w:r>
    </w:p>
    <w:p>
      <w:pPr>
        <w:spacing w:before="0" w:after="160" w:line="360" w:lineRule="auto"/>
        <w:ind w:firstLine="720"/>
        <w:jc w:val="both"/>
      </w:pPr>
      <w:r>
        <w:rPr>
          <w:rFonts w:ascii="Times New Roman" w:hAnsi="Times New Roman" w:cs="Times New Roman" w:eastAsia="Times New Roman"/>
          <w:b w:val="0"/>
          <w:i w:val="0"/>
          <w:sz w:val="24"/>
        </w:rPr>
        <w:t>Técnicamente, la personalización algorítmica requiere grandes volúmenes de datos individuales. Estudiantes de escuelas rurales con conectividad intermitente no generan datos suficientes y, paradójicamente, quedan excluidos de la tecnología que se supone inclusiva.</w:t>
      </w:r>
    </w:p>
    <w:p>
      <w:pPr>
        <w:spacing w:before="0" w:after="160" w:line="360" w:lineRule="auto"/>
        <w:ind w:firstLine="720"/>
        <w:jc w:val="both"/>
      </w:pPr>
      <w:r>
        <w:rPr>
          <w:rFonts w:ascii="Times New Roman" w:hAnsi="Times New Roman" w:cs="Times New Roman" w:eastAsia="Times New Roman"/>
          <w:b w:val="0"/>
          <w:i w:val="0"/>
          <w:sz w:val="24"/>
        </w:rPr>
        <w:t>Como documenta la CEPAL (2024), 60% de las escuelas rurales carece de acceso a internet adecuado.</w:t>
      </w:r>
    </w:p>
    <w:p>
      <w:pPr>
        <w:spacing w:before="0" w:after="160" w:line="360" w:lineRule="auto"/>
        <w:ind w:firstLine="720"/>
        <w:jc w:val="both"/>
      </w:pPr>
      <w:r>
        <w:rPr>
          <w:rFonts w:ascii="Times New Roman" w:hAnsi="Times New Roman" w:cs="Times New Roman" w:eastAsia="Times New Roman"/>
          <w:b w:val="0"/>
          <w:i w:val="0"/>
          <w:sz w:val="24"/>
        </w:rPr>
        <w:t>Más aún, la supuesta personalización funciona como un mecanismo de clasificación que reproduce desigualdades. Los algoritmos clasifican a los estudiantes en tipologías (“bajo rendimiento”, “alto potencial”, “riesgo de deserción”) y asignan trayectorias diferenciadas, lo que perpetúa la exclusión bajo la apariencia de objetividad técnica.</w:t>
      </w:r>
    </w:p>
    <w:p>
      <w:pPr>
        <w:keepNext/>
        <w:spacing w:before="320" w:after="160" w:line="360" w:lineRule="auto"/>
        <w:jc w:val="left"/>
      </w:pPr>
      <w:r>
        <w:rPr>
          <w:rFonts w:ascii="Times New Roman" w:hAnsi="Times New Roman" w:cs="Times New Roman" w:eastAsia="Times New Roman"/>
          <w:b/>
          <w:i/>
          <w:sz w:val="24"/>
        </w:rPr>
        <w:t>Contradicción de innovación: discursos transformadores versus profundización de brechas</w:t>
      </w:r>
    </w:p>
    <w:p>
      <w:pPr>
        <w:spacing w:before="0" w:after="160" w:line="360" w:lineRule="auto"/>
        <w:ind w:firstLine="720"/>
        <w:jc w:val="both"/>
      </w:pPr>
      <w:r>
        <w:rPr>
          <w:rFonts w:ascii="Times New Roman" w:hAnsi="Times New Roman" w:cs="Times New Roman" w:eastAsia="Times New Roman"/>
          <w:b w:val="0"/>
          <w:i w:val="0"/>
          <w:sz w:val="24"/>
        </w:rPr>
        <w:t xml:space="preserve">La segunda contradicción radica en la tensión entre las retóricas de transformación y de profundización de las desigualdades preexistentes. Como evidencian Fernández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(2024), las universidades adoptan la IA sin resolver problemas estructurales previos: financiamiento insuficiente, salarios docentes precarios, infraestructura deficiente y deserción masiva.</w:t>
      </w:r>
    </w:p>
    <w:p>
      <w:pPr>
        <w:spacing w:before="0" w:after="160" w:line="360" w:lineRule="auto"/>
        <w:ind w:firstLine="720"/>
        <w:jc w:val="both"/>
      </w:pPr>
      <w:r>
        <w:rPr>
          <w:rFonts w:ascii="Times New Roman" w:hAnsi="Times New Roman" w:cs="Times New Roman" w:eastAsia="Times New Roman"/>
          <w:b w:val="0"/>
          <w:i w:val="0"/>
          <w:sz w:val="24"/>
        </w:rPr>
        <w:t xml:space="preserve">Esta contradicción se manifiesta en tres brechas interrelacionadas. La </w:t>
      </w:r>
      <w:r>
        <w:rPr>
          <w:rFonts w:ascii="Times New Roman" w:hAnsi="Times New Roman" w:cs="Times New Roman" w:eastAsia="Times New Roman"/>
          <w:b w:val="0"/>
          <w:i/>
          <w:sz w:val="24"/>
        </w:rPr>
        <w:t>brecha de acceso</w:t>
      </w:r>
      <w:r>
        <w:rPr>
          <w:rFonts w:ascii="Times New Roman" w:hAnsi="Times New Roman" w:cs="Times New Roman" w:eastAsia="Times New Roman"/>
          <w:b w:val="0"/>
          <w:i w:val="0"/>
          <w:sz w:val="24"/>
        </w:rPr>
        <w:t xml:space="preserve"> se refiere a las disparidades en la conectividad y en los dispositivos. La </w:t>
      </w:r>
      <w:r>
        <w:rPr>
          <w:rFonts w:ascii="Times New Roman" w:hAnsi="Times New Roman" w:cs="Times New Roman" w:eastAsia="Times New Roman"/>
          <w:b w:val="0"/>
          <w:i/>
          <w:sz w:val="24"/>
        </w:rPr>
        <w:t>brecha de uso</w:t>
      </w:r>
      <w:r>
        <w:rPr>
          <w:rFonts w:ascii="Times New Roman" w:hAnsi="Times New Roman" w:cs="Times New Roman" w:eastAsia="Times New Roman"/>
          <w:b w:val="0"/>
          <w:i w:val="0"/>
          <w:sz w:val="24"/>
        </w:rPr>
        <w:t xml:space="preserve"> se refiere a las diferencias en la apropiación crítica. Rivadeneira </w:t>
      </w:r>
      <w:r>
        <w:rPr>
          <w:rFonts w:ascii="Times New Roman" w:hAnsi="Times New Roman" w:cs="Times New Roman" w:eastAsia="Times New Roman"/>
          <w:b w:val="0"/>
          <w:i/>
          <w:sz w:val="24"/>
        </w:rPr>
        <w:t>et al.</w:t>
      </w:r>
      <w:r>
        <w:rPr>
          <w:rFonts w:ascii="Times New Roman" w:hAnsi="Times New Roman" w:cs="Times New Roman" w:eastAsia="Times New Roman"/>
          <w:b w:val="0"/>
          <w:i w:val="0"/>
          <w:sz w:val="24"/>
        </w:rPr>
        <w:t xml:space="preserve"> (2025) encuentran que estudiantes latinoamericanos utilizan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sobre todo para completar tareas de forma mecánica (67%), mientras sólo 12% lo usa para pensamiento crítico. La </w:t>
      </w:r>
      <w:r>
        <w:rPr>
          <w:rFonts w:ascii="Times New Roman" w:hAnsi="Times New Roman" w:cs="Times New Roman" w:eastAsia="Times New Roman"/>
          <w:b w:val="0"/>
          <w:i/>
          <w:sz w:val="24"/>
        </w:rPr>
        <w:t>brecha de diseño</w:t>
      </w:r>
      <w:r>
        <w:rPr>
          <w:rFonts w:ascii="Times New Roman" w:hAnsi="Times New Roman" w:cs="Times New Roman" w:eastAsia="Times New Roman"/>
          <w:b w:val="0"/>
          <w:i w:val="0"/>
          <w:sz w:val="24"/>
        </w:rPr>
        <w:t xml:space="preserve"> es quizás la más profunda: América Latina es consumidora, no productora, de IA educativa.</w:t>
      </w:r>
    </w:p>
    <w:p>
      <w:pPr>
        <w:keepNext/>
        <w:spacing w:before="320" w:after="160" w:line="360" w:lineRule="auto"/>
        <w:jc w:val="left"/>
      </w:pPr>
      <w:r>
        <w:rPr>
          <w:rFonts w:ascii="Times New Roman" w:hAnsi="Times New Roman" w:cs="Times New Roman" w:eastAsia="Times New Roman"/>
          <w:b/>
          <w:i/>
          <w:sz w:val="24"/>
        </w:rPr>
        <w:t>Contradicción de empoderamiento: retórica democratizadora versus dependencia tecnológica</w:t>
      </w:r>
    </w:p>
    <w:p>
      <w:pPr>
        <w:spacing w:before="0" w:after="160" w:line="360" w:lineRule="auto"/>
        <w:ind w:firstLine="720"/>
        <w:jc w:val="both"/>
      </w:pPr>
      <w:r>
        <w:rPr>
          <w:rFonts w:ascii="Times New Roman" w:hAnsi="Times New Roman" w:cs="Times New Roman" w:eastAsia="Times New Roman"/>
          <w:b w:val="0"/>
          <w:i w:val="0"/>
          <w:sz w:val="24"/>
        </w:rPr>
        <w:t>La tercera contradicción contrasta discursos que celebran la IA como democratizadora con realidades de dependencia tecnológica y de extracción de datos. Primero, el supuesto empoderamiento se basa en una dependencia radical de las corporaciones transnacionales. Estudiantes y docentes latinoamericanos no controlan los algoritmos que median su educación.</w:t>
      </w:r>
    </w:p>
    <w:p>
      <w:pPr>
        <w:spacing w:before="0" w:after="160" w:line="360" w:lineRule="auto"/>
        <w:ind w:firstLine="720"/>
        <w:jc w:val="both"/>
      </w:pPr>
      <w:r>
        <w:rPr>
          <w:rFonts w:ascii="Times New Roman" w:hAnsi="Times New Roman" w:cs="Times New Roman" w:eastAsia="Times New Roman"/>
          <w:b w:val="0"/>
          <w:i w:val="0"/>
          <w:sz w:val="24"/>
        </w:rPr>
        <w:t xml:space="preserve">Segundo, como documenta la literatura sobre el capitalismo de vigilancia (Couldry y Mejias, 2019), los servicios de IA “gratuitos” operan mediante la extracción de datos. Cada interacción con </w:t>
      </w:r>
      <w:r>
        <w:rPr>
          <w:rFonts w:ascii="Times New Roman" w:hAnsi="Times New Roman" w:cs="Times New Roman" w:eastAsia="Times New Roman"/>
          <w:b w:val="0"/>
          <w:i/>
          <w:sz w:val="24"/>
        </w:rPr>
        <w:t>Chat- GPT</w:t>
      </w:r>
      <w:r>
        <w:rPr>
          <w:rFonts w:ascii="Times New Roman" w:hAnsi="Times New Roman" w:cs="Times New Roman" w:eastAsia="Times New Roman"/>
          <w:b w:val="0"/>
          <w:i w:val="0"/>
          <w:sz w:val="24"/>
        </w:rPr>
        <w:t xml:space="preserve"> genera información valiosa que alimenta el entrenamiento de modelos propietarios y acumula valor corporativo sin generar retorno de beneficios.</w:t>
      </w:r>
    </w:p>
    <w:p>
      <w:pPr>
        <w:spacing w:before="0" w:after="160" w:line="360" w:lineRule="auto"/>
        <w:ind w:firstLine="720"/>
        <w:jc w:val="both"/>
      </w:pPr>
      <w:r>
        <w:rPr>
          <w:rFonts w:ascii="Times New Roman" w:hAnsi="Times New Roman" w:cs="Times New Roman" w:eastAsia="Times New Roman"/>
          <w:b w:val="0"/>
          <w:i w:val="0"/>
          <w:sz w:val="24"/>
        </w:rPr>
        <w:t>Estas tres contradicciones revelan que la IA educativa, lejos de ser neutral, reproduce y amplifica las desigualdades que caracterizan los sistemas educativos latinoamericanos.</w:t>
      </w:r>
    </w:p>
    <w:p>
      <w:pPr>
        <w:keepNext/>
        <w:spacing w:before="480" w:after="160" w:line="360" w:lineRule="auto"/>
        <w:jc w:val="center"/>
      </w:pPr>
      <w:r>
        <w:rPr>
          <w:rFonts w:ascii="Times New Roman" w:hAnsi="Times New Roman" w:cs="Times New Roman" w:eastAsia="Times New Roman"/>
          <w:b/>
          <w:i w:val="0"/>
          <w:sz w:val="24"/>
        </w:rPr>
        <w:t>VACÍOS IDENTIFICADOS: AGENDA PARA INVESTIGACIÓN CRÍTICA</w:t>
      </w:r>
    </w:p>
    <w:p>
      <w:pPr>
        <w:spacing w:before="0" w:after="160" w:line="360" w:lineRule="auto"/>
        <w:ind w:firstLine="720"/>
        <w:jc w:val="both"/>
      </w:pPr>
      <w:r>
        <w:rPr>
          <w:rFonts w:ascii="Times New Roman" w:hAnsi="Times New Roman" w:cs="Times New Roman" w:eastAsia="Times New Roman"/>
          <w:b w:val="0"/>
          <w:i w:val="0"/>
          <w:sz w:val="24"/>
        </w:rPr>
        <w:t>El análisis permite identificar cuatro tipos de vacíos urgentes: empíricos, teóricos, metodológicos y de política pública.</w:t>
      </w:r>
    </w:p>
    <w:p>
      <w:pPr>
        <w:keepNext/>
        <w:spacing w:before="320" w:after="160" w:line="360" w:lineRule="auto"/>
        <w:jc w:val="left"/>
      </w:pPr>
      <w:r>
        <w:rPr>
          <w:rFonts w:ascii="Times New Roman" w:hAnsi="Times New Roman" w:cs="Times New Roman" w:eastAsia="Times New Roman"/>
          <w:b/>
          <w:i/>
          <w:sz w:val="24"/>
        </w:rPr>
        <w:t>Vacíos empíricos: poblaciones no consideradas</w:t>
      </w:r>
    </w:p>
    <w:p>
      <w:pPr>
        <w:spacing w:before="0" w:after="160" w:line="360" w:lineRule="auto"/>
        <w:ind w:firstLine="720"/>
        <w:jc w:val="both"/>
      </w:pPr>
      <w:r>
        <w:rPr>
          <w:rFonts w:ascii="Times New Roman" w:hAnsi="Times New Roman" w:cs="Times New Roman" w:eastAsia="Times New Roman"/>
          <w:b w:val="0"/>
          <w:i w:val="0"/>
          <w:sz w:val="24"/>
        </w:rPr>
        <w:t>El vacío empírico más grave es la ausencia casi total de investigación sobre grupos vulnerables específicos. Cero artículos abordan a los pueblos indígenas, a pesar de que cerca de 50 millones de sus habitantes viven en América Latina. Esta ausencia no es meramente cuantitativa sino epistémica: implica que las tecnologías se diseñan sin considerar la pertinencia cultural para comunidades con pedagogías comunitarias, transmisión oral de saberes y cosmovisiones relacionales incompatibles con la individualización algorítmica. De manera similar, la ausencia de estudios sobre población migrante y refugiada ‒a pesar de millones en movilidad forzada‒ significa que la IA educativa se diseña para estudiantes establecidos en territorio, excluyendo por omisión a quienes más necesitarían flexibilidad educativa. Tampoco existen estudios longitudinales que evalúen los impactos a mediano y largo plazo. Toda la literatura revisada es transversal y captura percepciones o desempeños en momentos específicos sin seguimiento de trayectorias. No sabemos si el uso intensivo de IA fortalece o debilita el pensamiento crítico a lo largo de los años; si la exposición temprana a tutores algorítmicos afecta el desarrollo socioemocional, o si la vigilancia algorítmica continua tiene consecuencias en la subjetividad y la autonomía estudiantil.</w:t>
      </w:r>
    </w:p>
    <w:p>
      <w:pPr>
        <w:spacing w:before="0" w:after="160" w:line="360" w:lineRule="auto"/>
        <w:ind w:firstLine="720"/>
        <w:jc w:val="both"/>
      </w:pPr>
      <w:r>
        <w:rPr>
          <w:rFonts w:ascii="Times New Roman" w:hAnsi="Times New Roman" w:cs="Times New Roman" w:eastAsia="Times New Roman"/>
          <w:b w:val="0"/>
          <w:i w:val="0"/>
          <w:sz w:val="24"/>
        </w:rPr>
        <w:t xml:space="preserve">En cuanto a la metodología, la ausencia de etnografías digitales resulta notable. Ningún estudio utiliza la observación participante prolongada para comprender cómo estudiantes y docentes latinoamericanos realmente se apropian, negocian o resisten la IA educativa en contextos situados. No tenemos descripciones densas de qué ocurre cuando se introduce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en una escuela rural multigrado peruana, ni de cómo los docentes de educación popular brasileña integran o rechazan la analítica del aprendizaje. Esta ausencia metodológica refleja el predominio de enfoques cuantitativos (68% de los artículos) y privilegia lo medible por encima de las experiencias vividas y de los sentidos atribuidos.</w:t>
      </w:r>
    </w:p>
    <w:p>
      <w:pPr>
        <w:keepNext/>
        <w:spacing w:before="320" w:after="160" w:line="360" w:lineRule="auto"/>
        <w:jc w:val="left"/>
      </w:pPr>
      <w:r>
        <w:rPr>
          <w:rFonts w:ascii="Times New Roman" w:hAnsi="Times New Roman" w:cs="Times New Roman" w:eastAsia="Times New Roman"/>
          <w:b/>
          <w:i/>
          <w:sz w:val="24"/>
        </w:rPr>
        <w:t>Vacíos teóricos: desconexión con pensamiento crítico latinoamericano</w:t>
      </w:r>
    </w:p>
    <w:p>
      <w:pPr>
        <w:spacing w:before="0" w:after="160" w:line="360" w:lineRule="auto"/>
        <w:ind w:firstLine="720"/>
        <w:jc w:val="both"/>
      </w:pPr>
      <w:r>
        <w:rPr>
          <w:rFonts w:ascii="Times New Roman" w:hAnsi="Times New Roman" w:cs="Times New Roman" w:eastAsia="Times New Roman"/>
          <w:b w:val="0"/>
          <w:i w:val="0"/>
          <w:sz w:val="24"/>
        </w:rPr>
        <w:t>El vacío teórico más significativo es la desconexión casi total entre la literatura sobre IA educativa y las tradiciones intelectuales críticas latinoamericanas. Sólo dos de 59 artículos (3.4%) citan a Freire, fundador de la pedagogía crítica, quien es una referencia obligada en la educación latinoamericana. Autores como Boaventura de Sousa Santos (2010, epistemologías del Sur), Catherine Walsh (2009, interculturalidad crítica), o clásicos del pensamiento educativo latinoamericano están del todo ausentes. Esta omisión no es casual: refleja que la investigación sobre IA educativa reproduce marcos teóricos del Norte Global –con frecuencia positivistas, tecnocéntricos y despolitizados– sin cuestionamiento ni apropiación crítica desde el Sur.</w:t>
      </w:r>
    </w:p>
    <w:p>
      <w:pPr>
        <w:spacing w:before="0" w:after="160" w:line="360" w:lineRule="auto"/>
        <w:ind w:firstLine="720"/>
        <w:jc w:val="both"/>
      </w:pPr>
      <w:r>
        <w:rPr>
          <w:rFonts w:ascii="Times New Roman" w:hAnsi="Times New Roman" w:cs="Times New Roman" w:eastAsia="Times New Roman"/>
          <w:b w:val="0"/>
          <w:i w:val="0"/>
          <w:sz w:val="24"/>
        </w:rPr>
        <w:t>En específico, ningún artículo aplica conceptos emergentes de los estudios críticos de datos como “justicia de datos” (Taylor, 2017), “extractivismo de datos” (Couldry y Mejías, 2019) o “soberanía digital” (Ricaurte, 2019). Esto significa que dimensiones cruciales del poder en la era algorítmica –quién controla los datos educativos, cómo se monetizan, qué implica la dependencia de infraestructuras corporativas– permanecen sin análisis. La oportunidad perdida es conectar los debates críticos sobre el capitalismo de vigilancia con las preocupaciones históricas latinoamericanas sobre el imperialismo cultural y la dependencia tecnológica.</w:t>
      </w:r>
    </w:p>
    <w:p>
      <w:pPr>
        <w:spacing w:before="0" w:after="160" w:line="360" w:lineRule="auto"/>
        <w:ind w:firstLine="720"/>
        <w:jc w:val="both"/>
      </w:pPr>
      <w:r>
        <w:rPr>
          <w:rFonts w:ascii="Times New Roman" w:hAnsi="Times New Roman" w:cs="Times New Roman" w:eastAsia="Times New Roman"/>
          <w:b w:val="0"/>
          <w:i w:val="0"/>
          <w:sz w:val="24"/>
        </w:rPr>
        <w:t>Tampoco existe articulación con cuestionamientos dirigidos a la tecnología. Filgueiras (2025) es la excepción: su análisis de la gobernanza desde la lente de la subordinación tecnológica muestra cómo la dependencia tecnológica reproduce relaciones de dominación en el ámbito digital. Sin embargo, esta perspectiva permanece marginal. La mayoría de los artículos trata la IA como neutral, universal y apolítica, ignorando que el diseño tecnológico siempre está situado geopolíticamente y encarna valores particulares. El marco de subordinación tecnológica exigiría preguntar sistemáticamente: ¿qué conocimientos cuentan y cuáles no cuentan para la IA ? ¿Qué epistemicidio tecnológico se produce cuando sólo saberes occidentalizados y cuantificables son reconocidos como válidos? ¿Qué alternativas no tecnocéntricas existen que la obsesión con la IA invisibiliza?</w:t>
      </w:r>
    </w:p>
    <w:p>
      <w:pPr>
        <w:keepNext/>
        <w:spacing w:before="320" w:after="160" w:line="360" w:lineRule="auto"/>
        <w:jc w:val="left"/>
      </w:pPr>
      <w:r>
        <w:rPr>
          <w:rFonts w:ascii="Times New Roman" w:hAnsi="Times New Roman" w:cs="Times New Roman" w:eastAsia="Times New Roman"/>
          <w:b/>
          <w:i/>
          <w:sz w:val="24"/>
        </w:rPr>
        <w:t>Vacíos metodológicos y de análisis algorítmico</w:t>
      </w:r>
    </w:p>
    <w:p>
      <w:pPr>
        <w:spacing w:before="0" w:after="160" w:line="360" w:lineRule="auto"/>
        <w:ind w:firstLine="720"/>
        <w:jc w:val="both"/>
      </w:pPr>
      <w:r>
        <w:rPr>
          <w:rFonts w:ascii="Times New Roman" w:hAnsi="Times New Roman" w:cs="Times New Roman" w:eastAsia="Times New Roman"/>
          <w:b w:val="0"/>
          <w:i w:val="0"/>
          <w:sz w:val="24"/>
        </w:rPr>
        <w:t>También en materia de método identificamos tres vacíos críticos. Primero, la ausencia de investigación participativa con comunidades educativas vulnerables. Ningún estudio utiliza investigación-acción participativa, codiseño con docentes de escuelas rurales, o consulta genuina a estudiantes indígenas sobre la pertinencia cultural de la IA. Las tecnologías se desarrollan “para” pero no “con” sectores excluidos, lo que reproduce lógicas paternalistas de intervención.</w:t>
      </w:r>
    </w:p>
    <w:p>
      <w:pPr>
        <w:spacing w:before="0" w:after="160" w:line="360" w:lineRule="auto"/>
        <w:ind w:firstLine="720"/>
        <w:jc w:val="both"/>
      </w:pPr>
      <w:r>
        <w:rPr>
          <w:rFonts w:ascii="Times New Roman" w:hAnsi="Times New Roman" w:cs="Times New Roman" w:eastAsia="Times New Roman"/>
          <w:b w:val="0"/>
          <w:i w:val="0"/>
          <w:sz w:val="24"/>
        </w:rPr>
        <w:t>Segundo, falta de análisis críticos de algoritmos específicos.</w:t>
      </w:r>
    </w:p>
    <w:p>
      <w:pPr>
        <w:spacing w:before="0" w:after="160" w:line="360" w:lineRule="auto"/>
        <w:ind w:firstLine="720"/>
        <w:jc w:val="both"/>
      </w:pPr>
      <w:r>
        <w:rPr>
          <w:rFonts w:ascii="Times New Roman" w:hAnsi="Times New Roman" w:cs="Times New Roman" w:eastAsia="Times New Roman"/>
          <w:b w:val="0"/>
          <w:i w:val="0"/>
          <w:sz w:val="24"/>
        </w:rPr>
        <w:t xml:space="preserve">Ninguno de los 59 artículos realiza una auditoría de sesgos en herramientas concretas utilizadas en América Latina. No sabemos si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en español reproduce estereotipos de género, raza o clase; si los sistemas de tutoría inteligente discriminan a estudiantes de sectores populares mediante algoritmos, o si la analítica predictiva estigmatiza injustamente a poblaciones vulnerables. Estos sistemas operan como “cajas negras”, ya que procesan a millones de estudiantes sin escrutinio público de su funcionamiento interno.</w:t>
      </w:r>
    </w:p>
    <w:p>
      <w:pPr>
        <w:spacing w:before="0" w:after="160" w:line="360" w:lineRule="auto"/>
        <w:ind w:firstLine="720"/>
        <w:jc w:val="both"/>
      </w:pPr>
      <w:r>
        <w:rPr>
          <w:rFonts w:ascii="Times New Roman" w:hAnsi="Times New Roman" w:cs="Times New Roman" w:eastAsia="Times New Roman"/>
          <w:b w:val="0"/>
          <w:i w:val="0"/>
          <w:sz w:val="24"/>
        </w:rPr>
        <w:t xml:space="preserve">Tercero, la ausencia de análisis de los conjuntos de datos de entrenamiento. Los modelos de IA aprenden a partir de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masivos. ¿Qué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utilizan los sistemas de IA educativa? ¿Incluyen literatura latinoamericana, textos en lenguas originarias y perspectivas de subordinación tecnológica, o reproducen cánones eurocéntricos que invisibilizan la producción intelectual del Sur? La ausencia de investigación sobre esta dimensión implica que permanecen ocultos sesgos epistémicos fundamentales.</w:t>
      </w:r>
    </w:p>
    <w:p>
      <w:pPr>
        <w:keepNext/>
        <w:spacing w:before="320" w:after="160" w:line="360" w:lineRule="auto"/>
        <w:jc w:val="left"/>
      </w:pPr>
      <w:r>
        <w:rPr>
          <w:rFonts w:ascii="Times New Roman" w:hAnsi="Times New Roman" w:cs="Times New Roman" w:eastAsia="Times New Roman"/>
          <w:b/>
          <w:i/>
          <w:sz w:val="24"/>
        </w:rPr>
        <w:t>Vacíos de política pública y regulación</w:t>
      </w:r>
    </w:p>
    <w:p>
      <w:pPr>
        <w:spacing w:before="0" w:after="160" w:line="360" w:lineRule="auto"/>
        <w:ind w:firstLine="720"/>
        <w:jc w:val="both"/>
      </w:pPr>
      <w:r>
        <w:rPr>
          <w:rFonts w:ascii="Times New Roman" w:hAnsi="Times New Roman" w:cs="Times New Roman" w:eastAsia="Times New Roman"/>
          <w:b w:val="0"/>
          <w:i w:val="0"/>
          <w:sz w:val="24"/>
        </w:rPr>
        <w:t xml:space="preserve">En fin, la literatura presenta vacíos alarmantes en materia de política pública. Sólo uno de cada 59 artículos (2%) menciona la protección de datos estudiantiles, a pesar de que el </w:t>
      </w:r>
      <w:r>
        <w:rPr>
          <w:rFonts w:ascii="Times New Roman" w:hAnsi="Times New Roman" w:cs="Times New Roman" w:eastAsia="Times New Roman"/>
          <w:b w:val="0"/>
          <w:i/>
          <w:sz w:val="24"/>
        </w:rPr>
        <w:t>learning analytics</w:t>
      </w:r>
      <w:r>
        <w:rPr>
          <w:rFonts w:ascii="Times New Roman" w:hAnsi="Times New Roman" w:cs="Times New Roman" w:eastAsia="Times New Roman"/>
          <w:b w:val="0"/>
          <w:i w:val="0"/>
          <w:sz w:val="24"/>
        </w:rPr>
        <w:t xml:space="preserve"> implica una vigilancia masiva. Ningún estudio examina los marcos regulatorios regionales existentes o necesarios para proteger los derechos de los estudiantes en contextos de automatización educativa. Los países latinoamericanos han desarrollado recientemente estrategias nacionales de IA –Brasil (2024), Chile (2023), Uruguay (2025)–, pero estas políticas no han sido objeto de análisis crítico en la literatura académica revisada.</w:t>
      </w:r>
    </w:p>
    <w:p>
      <w:pPr>
        <w:spacing w:before="0" w:after="160" w:line="360" w:lineRule="auto"/>
        <w:ind w:firstLine="720"/>
        <w:jc w:val="both"/>
      </w:pPr>
      <w:r>
        <w:rPr>
          <w:rFonts w:ascii="Times New Roman" w:hAnsi="Times New Roman" w:cs="Times New Roman" w:eastAsia="Times New Roman"/>
          <w:b w:val="0"/>
          <w:i w:val="0"/>
          <w:sz w:val="24"/>
        </w:rPr>
        <w:t>Más grave aún, no existen artículos que documenten la participación de las comunidades educativas en el diseño de políticas de IA. Las decisiones sobre qué tecnologías adoptar en sistemas públicos se toman con frecuencia en esferas tecnocráticas (ministerios, consultorías, empresas tecnológicas), sin consulta vinculante con docentes, estudiantes o familias. Este déficit democrático en la gobernanza tecnológica educativa constituye un vacío que la investigación crítica debe visibilizar y cuestionar.</w:t>
      </w:r>
    </w:p>
    <w:p>
      <w:pPr>
        <w:spacing w:before="0" w:after="160" w:line="360" w:lineRule="auto"/>
        <w:ind w:firstLine="720"/>
        <w:jc w:val="both"/>
      </w:pPr>
      <w:r>
        <w:rPr>
          <w:rFonts w:ascii="Times New Roman" w:hAnsi="Times New Roman" w:cs="Times New Roman" w:eastAsia="Times New Roman"/>
          <w:b w:val="0"/>
          <w:i w:val="0"/>
          <w:sz w:val="24"/>
        </w:rPr>
        <w:t>Estos vacíos ‒empíricos, teóricos, metodológicos y de política‒ no son sólo temas pendientes, sino expresiones de un problema estructural más profundo: la investigación sobre IA educativa reproduce las exclusiones que, en apariencia, busca estudiar.</w:t>
      </w:r>
    </w:p>
    <w:p>
      <w:pPr>
        <w:keepNext/>
        <w:spacing w:before="480" w:after="160" w:line="360" w:lineRule="auto"/>
        <w:jc w:val="center"/>
      </w:pPr>
      <w:r>
        <w:rPr>
          <w:rFonts w:ascii="Times New Roman" w:hAnsi="Times New Roman" w:cs="Times New Roman" w:eastAsia="Times New Roman"/>
          <w:b/>
          <w:i w:val="0"/>
          <w:sz w:val="24"/>
        </w:rPr>
        <w:t>PROPUESTAS: HACIA UNA AGENDA DE IA EDUCATIVA PARA LA JUSTICIA SOCIAL</w:t>
      </w:r>
    </w:p>
    <w:p>
      <w:pPr>
        <w:keepNext/>
        <w:spacing w:before="320" w:after="160" w:line="360" w:lineRule="auto"/>
        <w:jc w:val="left"/>
      </w:pPr>
      <w:r>
        <w:rPr>
          <w:rFonts w:ascii="Times New Roman" w:hAnsi="Times New Roman" w:cs="Times New Roman" w:eastAsia="Times New Roman"/>
          <w:b/>
          <w:i/>
          <w:sz w:val="24"/>
        </w:rPr>
        <w:t>Ejes prioritarios de investigación crítica</w:t>
      </w:r>
    </w:p>
    <w:p>
      <w:pPr>
        <w:spacing w:before="0" w:after="160" w:line="360" w:lineRule="auto"/>
        <w:ind w:firstLine="720"/>
        <w:jc w:val="both"/>
      </w:pPr>
      <w:r>
        <w:rPr>
          <w:rFonts w:ascii="Times New Roman" w:hAnsi="Times New Roman" w:cs="Times New Roman" w:eastAsia="Times New Roman"/>
          <w:b w:val="0"/>
          <w:i w:val="0"/>
          <w:sz w:val="24"/>
        </w:rPr>
        <w:t>Proponemos cuatro ejes de investigación urgente desde la perspectiva de la justicia educativa latinoamericana. Primero, los estudios críticos sobre los grupos invisibilizados deben ser una prioridad absoluta. Esto incluye: investigar cómo la IA educativa afecta la educación intercultural bilingüe indígena, considerando las tensiones entre la estandarización algorítmica y las pedagogías comunitarias; analizar el acceso y la pertinencia para la población en migración forzada; evaluar si el diseño universal incluye de forma genuina a las personas con discapacidad o reproduce capacitismo digital, y examinar la interseccionalidad de género, raza, clase y territorio en el acceso diferencial.</w:t>
      </w:r>
    </w:p>
    <w:p>
      <w:pPr>
        <w:spacing w:before="0" w:after="160" w:line="360" w:lineRule="auto"/>
        <w:ind w:firstLine="720"/>
        <w:jc w:val="both"/>
      </w:pPr>
      <w:r>
        <w:rPr>
          <w:rFonts w:ascii="Times New Roman" w:hAnsi="Times New Roman" w:cs="Times New Roman" w:eastAsia="Times New Roman"/>
          <w:b w:val="0"/>
          <w:i w:val="0"/>
          <w:sz w:val="24"/>
        </w:rPr>
        <w:t>En cuanto al método, estos estudios deben privilegiar la investigación-acción participativa, la etnografía crítica y las historias de vida que den voz a quienes la literatura dominante silencia. No se trata de estudiar “sobre” poblaciones vulnerables sino “con” ellas, reconociendo sus agencias, saberes y capacidades de codiseño tecnológico.</w:t>
      </w:r>
    </w:p>
    <w:p>
      <w:pPr>
        <w:spacing w:before="0" w:after="160" w:line="360" w:lineRule="auto"/>
        <w:ind w:firstLine="720"/>
        <w:jc w:val="both"/>
      </w:pPr>
      <w:r>
        <w:rPr>
          <w:rFonts w:ascii="Times New Roman" w:hAnsi="Times New Roman" w:cs="Times New Roman" w:eastAsia="Times New Roman"/>
          <w:b w:val="0"/>
          <w:i w:val="0"/>
          <w:sz w:val="24"/>
        </w:rPr>
        <w:t xml:space="preserve">Segundo, el análisis de sesgos y de discriminación algorítmica requiere de urgencia. Esto implica: auditorías algorítmicas de las herramientas más utilizadas en América Latina, que evalúen si reproducen estereotipos; estudios interseccionales que documenten cómo los algoritmos afectan de forma diferenciada según múltiples ejes de opresión, y la evaluación crítica de </w:t>
      </w:r>
      <w:r>
        <w:rPr>
          <w:rFonts w:ascii="Times New Roman" w:hAnsi="Times New Roman" w:cs="Times New Roman" w:eastAsia="Times New Roman"/>
          <w:b w:val="0"/>
          <w:i/>
          <w:sz w:val="24"/>
        </w:rPr>
        <w:t>datasets</w:t>
      </w:r>
      <w:r>
        <w:rPr>
          <w:rFonts w:ascii="Times New Roman" w:hAnsi="Times New Roman" w:cs="Times New Roman" w:eastAsia="Times New Roman"/>
          <w:b w:val="0"/>
          <w:i w:val="0"/>
          <w:sz w:val="24"/>
        </w:rPr>
        <w:t xml:space="preserve"> de entrenamiento para identificar qué </w:t>
      </w:r>
      <w:r>
        <w:rPr>
          <w:rFonts w:ascii="Times New Roman" w:hAnsi="Times New Roman" w:cs="Times New Roman" w:eastAsia="Times New Roman"/>
          <w:b w:val="0"/>
          <w:i/>
          <w:sz w:val="24"/>
        </w:rPr>
        <w:t>corpus</w:t>
      </w:r>
      <w:r>
        <w:rPr>
          <w:rFonts w:ascii="Times New Roman" w:hAnsi="Times New Roman" w:cs="Times New Roman" w:eastAsia="Times New Roman"/>
          <w:b w:val="0"/>
          <w:i w:val="0"/>
          <w:sz w:val="24"/>
        </w:rPr>
        <w:t xml:space="preserve"> lingüísticos, culturales y epistemológicos incluyen o excluyen.</w:t>
      </w:r>
    </w:p>
    <w:p>
      <w:pPr>
        <w:spacing w:before="0" w:after="160" w:line="360" w:lineRule="auto"/>
        <w:ind w:firstLine="720"/>
        <w:jc w:val="both"/>
      </w:pPr>
      <w:r>
        <w:rPr>
          <w:rFonts w:ascii="Times New Roman" w:hAnsi="Times New Roman" w:cs="Times New Roman" w:eastAsia="Times New Roman"/>
          <w:b w:val="0"/>
          <w:i w:val="0"/>
          <w:sz w:val="24"/>
        </w:rPr>
        <w:t>Estas auditorías deben ser tanto técnicas como políticas. No basta identificar qué algoritmo discrimina; es necesario explicar por qué (qué datos históricos alimentan el sistema), contra quiénes (qué poblaciones específicas son perjudicadas) y proponer correctivos no sólo técnicos sino de gobernanza democrática de tecnología educativa.</w:t>
      </w:r>
    </w:p>
    <w:p>
      <w:pPr>
        <w:spacing w:before="0" w:after="160" w:line="360" w:lineRule="auto"/>
        <w:ind w:firstLine="720"/>
        <w:jc w:val="both"/>
      </w:pPr>
      <w:r>
        <w:rPr>
          <w:rFonts w:ascii="Times New Roman" w:hAnsi="Times New Roman" w:cs="Times New Roman" w:eastAsia="Times New Roman"/>
          <w:b w:val="0"/>
          <w:i w:val="0"/>
          <w:sz w:val="24"/>
        </w:rPr>
        <w:t xml:space="preserve">Tercero, son indispensables los estudios longitudinales de impacto a mediano y largo plazo. Necesitamos seguimientos de tres a cinco años que evalúen: los efectos del uso intensivo de la IA sobre las competencias de pensamiento crítico, creatividad, colaboración y autonomía; las consecuencias de la vigilancia algorítmica sobre la subjetividad estudiantil y las relaciones pedagógicas, y las trayectorias educativas y laborales diferenciadas según el acceso a la IA de calidad </w:t>
      </w:r>
      <w:r>
        <w:rPr>
          <w:rFonts w:ascii="Times New Roman" w:hAnsi="Times New Roman" w:cs="Times New Roman" w:eastAsia="Times New Roman"/>
          <w:b w:val="0"/>
          <w:i/>
          <w:sz w:val="24"/>
        </w:rPr>
        <w:t>versus</w:t>
      </w:r>
      <w:r>
        <w:rPr>
          <w:rFonts w:ascii="Times New Roman" w:hAnsi="Times New Roman" w:cs="Times New Roman" w:eastAsia="Times New Roman"/>
          <w:b w:val="0"/>
          <w:i w:val="0"/>
          <w:sz w:val="24"/>
        </w:rPr>
        <w:t xml:space="preserve"> precaria o ausente.</w:t>
      </w:r>
    </w:p>
    <w:p>
      <w:pPr>
        <w:spacing w:before="0" w:after="160" w:line="360" w:lineRule="auto"/>
        <w:ind w:firstLine="720"/>
        <w:jc w:val="both"/>
      </w:pPr>
      <w:r>
        <w:rPr>
          <w:rFonts w:ascii="Times New Roman" w:hAnsi="Times New Roman" w:cs="Times New Roman" w:eastAsia="Times New Roman"/>
          <w:b w:val="0"/>
          <w:i w:val="0"/>
          <w:sz w:val="24"/>
        </w:rPr>
        <w:t xml:space="preserve">Cuarto, la </w:t>
      </w:r>
      <w:r>
        <w:rPr>
          <w:rFonts w:ascii="Times New Roman" w:hAnsi="Times New Roman" w:cs="Times New Roman" w:eastAsia="Times New Roman"/>
          <w:b w:val="0"/>
          <w:i/>
          <w:sz w:val="24"/>
        </w:rPr>
        <w:t>economía política de la IA educativa</w:t>
      </w:r>
      <w:r>
        <w:rPr>
          <w:rFonts w:ascii="Times New Roman" w:hAnsi="Times New Roman" w:cs="Times New Roman" w:eastAsia="Times New Roman"/>
          <w:b w:val="0"/>
          <w:i w:val="0"/>
          <w:sz w:val="24"/>
        </w:rPr>
        <w:t xml:space="preserve"> debe investigarse críticamente. Esto incluye: análisis de flujos de inversión que identifique quién financia el desarrollo de la IA educativa en América Latina y bajo qué condiciones; estudios de modelos de negocio que revelen cómo los servicios en apariencia gratuitos operan a través de extractivismo, y evaluación de la dependencia tecnológica mediante análisis de contratos público-privados entre ministerios y corporaciones transnacionales.</w:t>
      </w:r>
    </w:p>
    <w:p>
      <w:pPr>
        <w:keepNext/>
        <w:spacing w:before="320" w:after="160" w:line="360" w:lineRule="auto"/>
        <w:jc w:val="left"/>
      </w:pPr>
      <w:r>
        <w:rPr>
          <w:rFonts w:ascii="Times New Roman" w:hAnsi="Times New Roman" w:cs="Times New Roman" w:eastAsia="Times New Roman"/>
          <w:b/>
          <w:i/>
          <w:sz w:val="24"/>
        </w:rPr>
        <w:t>Principios para políticas públicas de IA educativa equitativa</w:t>
      </w:r>
    </w:p>
    <w:p>
      <w:pPr>
        <w:spacing w:before="0" w:after="160" w:line="360" w:lineRule="auto"/>
        <w:ind w:firstLine="720"/>
        <w:jc w:val="both"/>
      </w:pPr>
      <w:r>
        <w:rPr>
          <w:rFonts w:ascii="Times New Roman" w:hAnsi="Times New Roman" w:cs="Times New Roman" w:eastAsia="Times New Roman"/>
          <w:b w:val="0"/>
          <w:i w:val="0"/>
          <w:sz w:val="24"/>
        </w:rPr>
        <w:t xml:space="preserve">Proponemos cinco principios rectores para orientar las políticas públicas. El </w:t>
      </w:r>
      <w:r>
        <w:rPr>
          <w:rFonts w:ascii="Times New Roman" w:hAnsi="Times New Roman" w:cs="Times New Roman" w:eastAsia="Times New Roman"/>
          <w:b w:val="0"/>
          <w:i/>
          <w:sz w:val="24"/>
        </w:rPr>
        <w:t>principio de prioridad de equidad sobre innovación</w:t>
      </w:r>
      <w:r>
        <w:rPr>
          <w:rFonts w:ascii="Times New Roman" w:hAnsi="Times New Roman" w:cs="Times New Roman" w:eastAsia="Times New Roman"/>
          <w:b w:val="0"/>
          <w:i w:val="0"/>
          <w:sz w:val="24"/>
        </w:rPr>
        <w:t xml:space="preserve"> establece que garantizar el acceso universal a la conectividad y a los dispositivos debe preceder a la implementación masiva de la IA. No tiene sentido promover tutores virtuales si 40% de estudiantes carece de internet. La meta debe ser cerrar las brechas de acceso básico antes de 2030, mediante una inversión pública masiva en infraestructura digital educativa que priorice las zonas rurales, indígenas y las periferias urbanas empobrecidas.</w:t>
      </w:r>
    </w:p>
    <w:p>
      <w:pPr>
        <w:spacing w:before="0" w:after="160" w:line="360" w:lineRule="auto"/>
        <w:ind w:firstLine="720"/>
        <w:jc w:val="both"/>
      </w:pPr>
      <w:r>
        <w:rPr>
          <w:rFonts w:ascii="Times New Roman" w:hAnsi="Times New Roman" w:cs="Times New Roman" w:eastAsia="Times New Roman"/>
          <w:b w:val="0"/>
          <w:i w:val="0"/>
          <w:sz w:val="24"/>
        </w:rPr>
        <w:t xml:space="preserve">El </w:t>
      </w:r>
      <w:r>
        <w:rPr>
          <w:rFonts w:ascii="Times New Roman" w:hAnsi="Times New Roman" w:cs="Times New Roman" w:eastAsia="Times New Roman"/>
          <w:b w:val="0"/>
          <w:i/>
          <w:sz w:val="24"/>
        </w:rPr>
        <w:t>principio de participación comunitaria vinculante</w:t>
      </w:r>
      <w:r>
        <w:rPr>
          <w:rFonts w:ascii="Times New Roman" w:hAnsi="Times New Roman" w:cs="Times New Roman" w:eastAsia="Times New Roman"/>
          <w:b w:val="0"/>
          <w:i w:val="0"/>
          <w:sz w:val="24"/>
        </w:rPr>
        <w:t xml:space="preserve"> exige que docentes, estudiantes, familias y comunidades tengan voz y voto en las decisiones sobre IA. Esto implica: consultas obligatorias previas a la adopción de tecnologías en la educación pública; codiseño de herramientas con los usuarios finales; no imposición vertical y derecho comunitario de veto sobre tecnologías consideradas perjudiciales. La gobernanza democrática debe reemplazar la tecnocracia excluyente.</w:t>
      </w:r>
    </w:p>
    <w:p>
      <w:pPr>
        <w:spacing w:before="0" w:after="160" w:line="360" w:lineRule="auto"/>
        <w:ind w:firstLine="720"/>
        <w:jc w:val="both"/>
      </w:pPr>
      <w:r>
        <w:rPr>
          <w:rFonts w:ascii="Times New Roman" w:hAnsi="Times New Roman" w:cs="Times New Roman" w:eastAsia="Times New Roman"/>
          <w:b w:val="0"/>
          <w:i w:val="0"/>
          <w:sz w:val="24"/>
        </w:rPr>
        <w:t xml:space="preserve">El </w:t>
      </w:r>
      <w:r>
        <w:rPr>
          <w:rFonts w:ascii="Times New Roman" w:hAnsi="Times New Roman" w:cs="Times New Roman" w:eastAsia="Times New Roman"/>
          <w:b w:val="0"/>
          <w:i/>
          <w:sz w:val="24"/>
        </w:rPr>
        <w:t>principio de soberanía digital y tecnológica</w:t>
      </w:r>
      <w:r>
        <w:rPr>
          <w:rFonts w:ascii="Times New Roman" w:hAnsi="Times New Roman" w:cs="Times New Roman" w:eastAsia="Times New Roman"/>
          <w:b w:val="0"/>
          <w:i w:val="0"/>
          <w:sz w:val="24"/>
        </w:rPr>
        <w:t xml:space="preserve"> plantea que América Latina debe desarrollar capacidades regionales para el diseño de IA educativa, a fin de reducir la dependencia de las corporaciones transnacionales. Esto requiere: inversión en desarrollo regional coordinado (Mercosur, CELAC); prioridad al </w:t>
      </w:r>
      <w:r>
        <w:rPr>
          <w:rFonts w:ascii="Times New Roman" w:hAnsi="Times New Roman" w:cs="Times New Roman" w:eastAsia="Times New Roman"/>
          <w:b w:val="0"/>
          <w:i/>
          <w:sz w:val="24"/>
        </w:rPr>
        <w:t>software</w:t>
      </w:r>
      <w:r>
        <w:rPr>
          <w:rFonts w:ascii="Times New Roman" w:hAnsi="Times New Roman" w:cs="Times New Roman" w:eastAsia="Times New Roman"/>
          <w:b w:val="0"/>
          <w:i w:val="0"/>
          <w:sz w:val="24"/>
        </w:rPr>
        <w:t xml:space="preserve"> libre y al código abierto, que permitan la auditoría pública y la adaptación local, y la protección de los datos educativos como patrimonio público no privatizable. La soberanía tecnológica es una condición de posibilidad para que la IA responda a las necesidades latinoamericanas en lugar de a los intereses corporativos del Norte Global.</w:t>
      </w:r>
    </w:p>
    <w:p>
      <w:pPr>
        <w:spacing w:before="0" w:after="160" w:line="360" w:lineRule="auto"/>
        <w:ind w:firstLine="720"/>
        <w:jc w:val="both"/>
      </w:pPr>
      <w:r>
        <w:rPr>
          <w:rFonts w:ascii="Times New Roman" w:hAnsi="Times New Roman" w:cs="Times New Roman" w:eastAsia="Times New Roman"/>
          <w:b w:val="0"/>
          <w:i w:val="0"/>
          <w:sz w:val="24"/>
        </w:rPr>
        <w:t xml:space="preserve">El </w:t>
      </w:r>
      <w:r>
        <w:rPr>
          <w:rFonts w:ascii="Times New Roman" w:hAnsi="Times New Roman" w:cs="Times New Roman" w:eastAsia="Times New Roman"/>
          <w:b w:val="0"/>
          <w:i/>
          <w:sz w:val="24"/>
        </w:rPr>
        <w:t>principio de diversidad cultural y lingüística</w:t>
      </w:r>
      <w:r>
        <w:rPr>
          <w:rFonts w:ascii="Times New Roman" w:hAnsi="Times New Roman" w:cs="Times New Roman" w:eastAsia="Times New Roman"/>
          <w:b w:val="0"/>
          <w:i w:val="0"/>
          <w:sz w:val="24"/>
        </w:rPr>
        <w:t xml:space="preserve"> establece que la IA educativa debe respetar el pluralismo epistemológico de América Latina. Esto implica: la obligatoriedad de versiones en lenguas originarias, no como traducción posterior, sino desde el diseño; la incorporación de epistemologías indígenas, afrodescendientes y populares como válidas por igual, y la evaluación de la pertinencia cultural antes de la adopción de cualquier tecnología. El monolingüismo y el eurocentrismo epistémico deben ser inaceptables en la IA educativa pública.</w:t>
      </w:r>
    </w:p>
    <w:p>
      <w:pPr>
        <w:spacing w:before="0" w:after="160" w:line="360" w:lineRule="auto"/>
        <w:ind w:firstLine="720"/>
        <w:jc w:val="both"/>
      </w:pPr>
      <w:r>
        <w:rPr>
          <w:rFonts w:ascii="Times New Roman" w:hAnsi="Times New Roman" w:cs="Times New Roman" w:eastAsia="Times New Roman"/>
          <w:b w:val="0"/>
          <w:i w:val="0"/>
          <w:sz w:val="24"/>
        </w:rPr>
        <w:t xml:space="preserve">El </w:t>
      </w:r>
      <w:r>
        <w:rPr>
          <w:rFonts w:ascii="Times New Roman" w:hAnsi="Times New Roman" w:cs="Times New Roman" w:eastAsia="Times New Roman"/>
          <w:b w:val="0"/>
          <w:i/>
          <w:sz w:val="24"/>
        </w:rPr>
        <w:t>principio de transparencia y rendición de cuentas</w:t>
      </w:r>
      <w:r>
        <w:rPr>
          <w:rFonts w:ascii="Times New Roman" w:hAnsi="Times New Roman" w:cs="Times New Roman" w:eastAsia="Times New Roman"/>
          <w:b w:val="0"/>
          <w:i w:val="0"/>
          <w:sz w:val="24"/>
        </w:rPr>
        <w:t xml:space="preserve"> exige que los algoritmos que afectan las trayectorias educativas sean auditables públicamente. Esto requiere la prohibición de cajas negras en decisiones sobre los estudiantes; mecanismos de reparación cuando los algoritmos causan daños injustos; y la obligación de las empresas de demostrar que los sistemas no discriminan antes de ser adoptados en educación pública. La opacidad algorítmica es incompatible con los derechos educativos.</w:t>
      </w:r>
    </w:p>
    <w:p>
      <w:pPr>
        <w:keepNext/>
        <w:spacing w:before="320" w:after="160" w:line="360" w:lineRule="auto"/>
        <w:jc w:val="left"/>
      </w:pPr>
      <w:r>
        <w:rPr>
          <w:rFonts w:ascii="Times New Roman" w:hAnsi="Times New Roman" w:cs="Times New Roman" w:eastAsia="Times New Roman"/>
          <w:b/>
          <w:i/>
          <w:sz w:val="24"/>
        </w:rPr>
        <w:t>Alternativas: IA al servicio de liberación educativa</w:t>
      </w:r>
    </w:p>
    <w:p>
      <w:pPr>
        <w:spacing w:before="0" w:after="160" w:line="360" w:lineRule="auto"/>
        <w:ind w:firstLine="720"/>
        <w:jc w:val="both"/>
      </w:pPr>
      <w:r>
        <w:rPr>
          <w:rFonts w:ascii="Times New Roman" w:hAnsi="Times New Roman" w:cs="Times New Roman" w:eastAsia="Times New Roman"/>
          <w:b w:val="0"/>
          <w:i w:val="0"/>
          <w:sz w:val="24"/>
        </w:rPr>
        <w:t>Más allá de la regulación defensiva, es posible imaginar usos contrahegemónicos de la IA al servicio de la justicia educativa. Primero, la IA para visibilizar y combatir las desigualdades. En lugar de reproducir exclusiones, los sistemas podrían mapear brechas educativas usando datos abiertos para incidir en las políticas; predecir vulnerabilidad, no para estigmatizar, sino para asignar recursos compensatorios, y monitorear la discriminación en textos escolares, currículos y evaluaciones, alertando sobre sesgos de género, raza o clase.</w:t>
      </w:r>
    </w:p>
    <w:p>
      <w:pPr>
        <w:spacing w:before="0" w:after="160" w:line="360" w:lineRule="auto"/>
        <w:ind w:firstLine="720"/>
        <w:jc w:val="both"/>
      </w:pPr>
      <w:r>
        <w:rPr>
          <w:rFonts w:ascii="Times New Roman" w:hAnsi="Times New Roman" w:cs="Times New Roman" w:eastAsia="Times New Roman"/>
          <w:b w:val="0"/>
          <w:i w:val="0"/>
          <w:sz w:val="24"/>
        </w:rPr>
        <w:t>Segundo, IA para fortalecer lenguas y culturas amenazadas. Las herramientas de traducción automática podrían desarrollarse para lenguas minorizadas con validación comunitaria; la generación de materiales educativos en lenguas originarias democratizaría el acceso al conocimiento en lenguas maternas, y los archivos digitales participativos preservarían los saberes ancestrales en riesgo de desaparecer.</w:t>
      </w:r>
    </w:p>
    <w:p>
      <w:pPr>
        <w:spacing w:before="0" w:after="160" w:line="360" w:lineRule="auto"/>
        <w:ind w:firstLine="720"/>
        <w:jc w:val="both"/>
      </w:pPr>
      <w:r>
        <w:rPr>
          <w:rFonts w:ascii="Times New Roman" w:hAnsi="Times New Roman" w:cs="Times New Roman" w:eastAsia="Times New Roman"/>
          <w:b w:val="0"/>
          <w:i w:val="0"/>
          <w:sz w:val="24"/>
        </w:rPr>
        <w:t>Crucialmente, estos usos requieren codiseño con las comunidades, no la apropiación extractivista de los conocimientos indígenas.</w:t>
      </w:r>
    </w:p>
    <w:p>
      <w:pPr>
        <w:spacing w:before="0" w:after="160" w:line="360" w:lineRule="auto"/>
        <w:ind w:firstLine="720"/>
        <w:jc w:val="both"/>
      </w:pPr>
      <w:r>
        <w:rPr>
          <w:rFonts w:ascii="Times New Roman" w:hAnsi="Times New Roman" w:cs="Times New Roman" w:eastAsia="Times New Roman"/>
          <w:b w:val="0"/>
          <w:i w:val="0"/>
          <w:sz w:val="24"/>
        </w:rPr>
        <w:t xml:space="preserve">Tercero, la IA en la educación popular y en los movimientos sociales. Las herramientas libres podrían apoyar la sistematización de experiencias educativas comunitarias; el análisis colaborativo de datos fortalecería la incidencia política de los movimientos por el derecho a la educación, y la comunicación alternativa mediante la IA contrarrestaría la desinformación corporativa y gubernamental. La inspiración proviene de movimientos de </w:t>
      </w:r>
      <w:r>
        <w:rPr>
          <w:rFonts w:ascii="Times New Roman" w:hAnsi="Times New Roman" w:cs="Times New Roman" w:eastAsia="Times New Roman"/>
          <w:b w:val="0"/>
          <w:i/>
          <w:sz w:val="24"/>
        </w:rPr>
        <w:t>software</w:t>
      </w:r>
      <w:r>
        <w:rPr>
          <w:rFonts w:ascii="Times New Roman" w:hAnsi="Times New Roman" w:cs="Times New Roman" w:eastAsia="Times New Roman"/>
          <w:b w:val="0"/>
          <w:i w:val="0"/>
          <w:sz w:val="24"/>
        </w:rPr>
        <w:t xml:space="preserve"> libre latinoamericanos que han reivindicado la tecnología como un bien común no mercantilizable.</w:t>
      </w:r>
    </w:p>
    <w:p>
      <w:pPr>
        <w:spacing w:before="0" w:after="160" w:line="360" w:lineRule="auto"/>
        <w:ind w:firstLine="720"/>
        <w:jc w:val="both"/>
      </w:pPr>
      <w:r>
        <w:rPr>
          <w:rFonts w:ascii="Times New Roman" w:hAnsi="Times New Roman" w:cs="Times New Roman" w:eastAsia="Times New Roman"/>
          <w:b w:val="0"/>
          <w:i w:val="0"/>
          <w:sz w:val="24"/>
        </w:rPr>
        <w:t xml:space="preserve">Cuarto, pedagogías críticas con/contra IA. En lugar de una adopción acrítica o de rechazo absoluto, los educadores críticos pueden usar la IA como objeto pedagógico: hacer que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responda preguntas sobre la conquista de América y analizar en colectivo su eurocentrismo; desarrollar proyectos estudiantiles de auditoría de sesgos algorítmicos y practicar escritura colaborativa humano- IA con reflexión sobre autoría, creatividad y pensamiento. Siguiendo a Freire (2005), la IA puede ser un “tema generador” de conciencia crítica sobre la tecnología, el poder y la sociedad. Estas alternativas no son utopías irrealizables sino posibilidades concretas que requieren voluntad política, inversión pública y organización social. Demuestran que la IA educativa no está tecnológicamente determinada a reproducir desigualdades: puede ser disputada, reorientada y puesta al servicio de proyectos emancipatorios si se articula con las luchas por la justicia social.</w:t>
      </w:r>
    </w:p>
    <w:p>
      <w:pPr>
        <w:keepNext/>
        <w:spacing w:before="480" w:after="160" w:line="360" w:lineRule="auto"/>
        <w:jc w:val="center"/>
      </w:pPr>
      <w:r>
        <w:rPr>
          <w:rFonts w:ascii="Times New Roman" w:hAnsi="Times New Roman" w:cs="Times New Roman" w:eastAsia="Times New Roman"/>
          <w:b/>
          <w:i w:val="0"/>
          <w:sz w:val="24"/>
        </w:rPr>
        <w:t>CONCLUSIONES</w:t>
      </w:r>
    </w:p>
    <w:p>
      <w:pPr>
        <w:spacing w:before="0" w:after="160" w:line="360" w:lineRule="auto"/>
        <w:ind w:firstLine="720"/>
        <w:jc w:val="both"/>
      </w:pPr>
      <w:r>
        <w:rPr>
          <w:rFonts w:ascii="Times New Roman" w:hAnsi="Times New Roman" w:cs="Times New Roman" w:eastAsia="Times New Roman"/>
          <w:b w:val="0"/>
          <w:i w:val="0"/>
          <w:sz w:val="24"/>
        </w:rPr>
        <w:t>Esta revisión conceptual analizó de forma crítica 59 estudios académicos recientes sobre inteligencia artificial en educación, con particular énfasis en América Latina y equidad educativa. Los hallazgos revelan tres paradojas estructurales que cuestionan narrativas optimistas sobre la IA como democratizadora: mientras se promete personalización, la realidad muestra estandarización algorítmica que beneficia a quienes ya tienen acceso privilegiado; la celebrada innovación coexiste con la profundización de brechas históricas de acceso, uso y diseño, y el discurso de empoderamiento oculta dominación tecnológica digital mediante la dependencia de corporaciones transnacionales y el extractivismo de datos educativos.</w:t>
      </w:r>
    </w:p>
    <w:p>
      <w:pPr>
        <w:spacing w:before="0" w:after="160" w:line="360" w:lineRule="auto"/>
        <w:ind w:firstLine="720"/>
        <w:jc w:val="both"/>
      </w:pPr>
      <w:r>
        <w:rPr>
          <w:rFonts w:ascii="Times New Roman" w:hAnsi="Times New Roman" w:cs="Times New Roman" w:eastAsia="Times New Roman"/>
          <w:b w:val="0"/>
          <w:i w:val="0"/>
          <w:sz w:val="24"/>
        </w:rPr>
        <w:t>El análisis identificó vacíos críticos. Empíricamente, las poblaciones vulnerables están casi del todo ausentes: cero estudios sobre indígenas, cero sobre migrantes, 3.4% sobre contextos rurales. En teoría, existe desconexión entre investigación sobre la IA y tradiciones críticas latinoamericanas de pedagogía liberadora y pensamiento de subordinación. En metodología, predominan enfoques cuantitativos mientras las etnografías y estudios participativos están ausentes. En política pública, no hay análisis de regulación ni de participación comunitaria en gobernanza tecnológica educativa.</w:t>
      </w:r>
    </w:p>
    <w:p>
      <w:pPr>
        <w:spacing w:before="0" w:after="160" w:line="360" w:lineRule="auto"/>
        <w:ind w:firstLine="720"/>
        <w:jc w:val="both"/>
      </w:pPr>
      <w:r>
        <w:rPr>
          <w:rFonts w:ascii="Times New Roman" w:hAnsi="Times New Roman" w:cs="Times New Roman" w:eastAsia="Times New Roman"/>
          <w:b w:val="0"/>
          <w:i w:val="0"/>
          <w:sz w:val="24"/>
        </w:rPr>
        <w:t xml:space="preserve">La contribución original radica en ser la primera sistematización regional post- </w:t>
      </w:r>
      <w:r>
        <w:rPr>
          <w:rFonts w:ascii="Times New Roman" w:hAnsi="Times New Roman" w:cs="Times New Roman" w:eastAsia="Times New Roman"/>
          <w:b w:val="0"/>
          <w:i/>
          <w:sz w:val="24"/>
        </w:rPr>
        <w:t>ChatGPT</w:t>
      </w:r>
      <w:r>
        <w:rPr>
          <w:rFonts w:ascii="Times New Roman" w:hAnsi="Times New Roman" w:cs="Times New Roman" w:eastAsia="Times New Roman"/>
          <w:b w:val="0"/>
          <w:i w:val="0"/>
          <w:sz w:val="24"/>
        </w:rPr>
        <w:t xml:space="preserve"> que articula la literatura sobre la IA con marcos de justicia social específicamente latinoamericanos. A diferencia de revisiones previas que reproducen marcos teóricos del Norte Global, nuestro análisis evidencia cómo la invisibilización académica de grupos vulnerables reproduce estructuralmente la exclusión y caracterizan sistemas educativos regionales. Los datos cuantitativos presentados –11.9% de artículos menciona equidad, 0% aborda población indígena– no son meramente estadísticas, sino síntomas de un problema epistémico más profundo: la investigación hegemónica sobre la IA educativa ignora voces, experiencias y saberes de quienes más necesitan que la tecnología contribuya a la equidad.</w:t>
      </w:r>
    </w:p>
    <w:p>
      <w:pPr>
        <w:spacing w:before="0" w:after="160" w:line="360" w:lineRule="auto"/>
        <w:ind w:firstLine="720"/>
        <w:jc w:val="both"/>
      </w:pPr>
      <w:r>
        <w:rPr>
          <w:rFonts w:ascii="Times New Roman" w:hAnsi="Times New Roman" w:cs="Times New Roman" w:eastAsia="Times New Roman"/>
          <w:b w:val="0"/>
          <w:i w:val="0"/>
          <w:sz w:val="24"/>
        </w:rPr>
        <w:t xml:space="preserve">Las implicaciones para la política y la práctica son claras. Para tomadores de decisión: implementar IA sin garantizar antes un acceso universal profundiza </w:t>
      </w:r>
      <w:r>
        <w:rPr>
          <w:rFonts w:ascii="Times New Roman" w:hAnsi="Times New Roman" w:cs="Times New Roman" w:eastAsia="Times New Roman"/>
          <w:b w:val="0"/>
          <w:i/>
          <w:sz w:val="24"/>
        </w:rPr>
        <w:t>apartheid</w:t>
      </w:r>
      <w:r>
        <w:rPr>
          <w:rFonts w:ascii="Times New Roman" w:hAnsi="Times New Roman" w:cs="Times New Roman" w:eastAsia="Times New Roman"/>
          <w:b w:val="0"/>
          <w:i w:val="0"/>
          <w:sz w:val="24"/>
        </w:rPr>
        <w:t xml:space="preserve"> digital; la adopción acrítica reproduce dependencia tecnológica, y se requiere urgentemente regulación ética con participación comunitaria vinculante. Para las instituciones educativas: introducir la IA sin formación docente crítica genera resistencias; la vigilancia algorítmica de los estudiantes exige protocolos éticos estrictos, y deben garantizarse espacios educativos libres de cuantificación total. Para las comunidades educativas: existe el derecho legítimo a cuestionar, negociar y rechazar las tecnologías impuestas de forma vertical; se requiere demanda de codiseño con participación real, y es necesaria la alfabetización crítica en justicia de datos para ejercer la ciudadanía en la era algorítmica.</w:t>
      </w:r>
    </w:p>
    <w:p>
      <w:pPr>
        <w:spacing w:before="0" w:after="160" w:line="360" w:lineRule="auto"/>
        <w:ind w:firstLine="720"/>
        <w:jc w:val="both"/>
      </w:pPr>
      <w:r>
        <w:rPr>
          <w:rFonts w:ascii="Times New Roman" w:hAnsi="Times New Roman" w:cs="Times New Roman" w:eastAsia="Times New Roman"/>
          <w:b w:val="0"/>
          <w:i w:val="0"/>
          <w:sz w:val="24"/>
        </w:rPr>
        <w:t xml:space="preserve">Como limitación, tenemos el sesgo de publicación, que implica analizar sólo artículos en </w:t>
      </w:r>
      <w:r>
        <w:rPr>
          <w:rFonts w:ascii="Times New Roman" w:hAnsi="Times New Roman" w:cs="Times New Roman" w:eastAsia="Times New Roman"/>
          <w:b w:val="0"/>
          <w:i/>
          <w:sz w:val="24"/>
        </w:rPr>
        <w:t>Scopus</w:t>
      </w:r>
      <w:r>
        <w:rPr>
          <w:rFonts w:ascii="Times New Roman" w:hAnsi="Times New Roman" w:cs="Times New Roman" w:eastAsia="Times New Roman"/>
          <w:b w:val="0"/>
          <w:i w:val="0"/>
          <w:sz w:val="24"/>
        </w:rPr>
        <w:t>, lo que excluye experiencias comunitarias documentadas fuera de circuitos académicos hegemónicos. El sesgo idiomático implica que la literatura en portugués está subrepresentada. La temporalidad específica (2024-2025) captura la explosión de la IA generativa, pero carece de profundidad histórica. En cuanto al método, esta revisión conceptual identifica vacíos, pero no sustituye la investigación empírica de campo urgentemente necesaria. En cuanto a geografía, incluso dentro de América Latina existen desigualdades en la representación: Centroamérica y el Caribe están subrepresentados en comparación con Brasil, Colombia y Perú.</w:t>
      </w:r>
    </w:p>
    <w:p>
      <w:pPr>
        <w:spacing w:before="0" w:after="160" w:line="360" w:lineRule="auto"/>
        <w:ind w:firstLine="720"/>
        <w:jc w:val="both"/>
      </w:pPr>
      <w:r>
        <w:rPr>
          <w:rFonts w:ascii="Times New Roman" w:hAnsi="Times New Roman" w:cs="Times New Roman" w:eastAsia="Times New Roman"/>
          <w:b w:val="0"/>
          <w:i w:val="0"/>
          <w:sz w:val="24"/>
        </w:rPr>
        <w:t>La pregunta que atraviesa este artículo –¿será la IA democratizadora o reproductora de desigualdades educativas?– no admite una respuesta determinista. La tecnología no es neutral, pero tampoco está predeterminada: puede ser disputada, reorientada y puesta al servicio de proyectos emancipatorios. La respuesta dependerá de si logramos anteponer derechos a mercados, centrar a poblaciones históricamente excluidas en el diseño tecnológico, democratizar el poder sobre los algoritmos mediando la educación, honrar la diversidad epistemológica latinoamericana y formar el pensamiento crítico capaz de auditar y transformar tecnologías en lugar de consumirlas de forma pasiva.</w:t>
      </w:r>
    </w:p>
    <w:p>
      <w:pPr>
        <w:spacing w:before="0" w:after="160" w:line="360" w:lineRule="auto"/>
        <w:ind w:firstLine="720"/>
        <w:jc w:val="both"/>
      </w:pPr>
      <w:r>
        <w:rPr>
          <w:rFonts w:ascii="Times New Roman" w:hAnsi="Times New Roman" w:cs="Times New Roman" w:eastAsia="Times New Roman"/>
          <w:b w:val="0"/>
          <w:i w:val="0"/>
          <w:sz w:val="24"/>
        </w:rPr>
        <w:t>Como señalara Freire (2005), la educación no cambia directamente el mundo, sino que cambia a las personas que transformarán el mundo. La IA educativa debe estar al servicio de estas personas, en especial de aquellas que más lo necesitan: niñas y niños rurales, jóvenes indígenas, adolescentes migrantes, estudiantes con discapacidad, mujeres de sectores populares. Si la investigación académica, el diseño tecnológico y las políticas públicas continúan invisibilizándolos, la IA funcionará más como un instrumento para la reproducción de las profundas desigualdades que caracterizan a América Latina. Si, en cambio, estas poblaciones son consideradas sujetos de derecho con agencia para codiseñar tecnologías al servicio de sus proyectos de vida dignos, entonces la IA podría contribuir genuinamente a la justicia educativa.</w:t>
      </w:r>
    </w:p>
    <w:p>
      <w:pPr>
        <w:spacing w:before="0" w:after="160" w:line="360" w:lineRule="auto"/>
        <w:ind w:firstLine="720"/>
        <w:jc w:val="both"/>
      </w:pPr>
      <w:r>
        <w:rPr>
          <w:rFonts w:ascii="Times New Roman" w:hAnsi="Times New Roman" w:cs="Times New Roman" w:eastAsia="Times New Roman"/>
          <w:b w:val="0"/>
          <w:i w:val="0"/>
          <w:sz w:val="24"/>
        </w:rPr>
        <w:t>La investigación educativa latinoamericana tiene la responsabilidad histórica de no limitarse a documentar estas tecnologías, sino de disputar su sentido político, imaginar alternativas emancipatorias y acompañar las luchas por una educación digna para todas y todos. Este artículo busca contribuir modestamente a esa agenda transformadora.</w:t>
      </w:r>
    </w:p>
    <w:p>
      <w:pPr>
        <w:pageBreakBefore/>
        <w:spacing w:after="0"/>
      </w:pPr>
    </w:p>
    <w:p>
      <w:pPr>
        <w:spacing w:before="480" w:after="160" w:line="360" w:lineRule="auto"/>
        <w:jc w:val="center"/>
      </w:pPr>
      <w:r>
        <w:rPr>
          <w:rFonts w:ascii="Times New Roman" w:hAnsi="Times New Roman" w:cs="Times New Roman" w:eastAsia="Times New Roman"/>
          <w:b/>
          <w:i w:val="0"/>
          <w:sz w:val="24"/>
        </w:rPr>
        <w:t>REFERENCIAS</w:t>
      </w:r>
    </w:p>
    <w:p>
      <w:pPr>
        <w:spacing w:before="0" w:after="160" w:line="360" w:lineRule="auto"/>
        <w:ind w:left="720" w:hanging="720"/>
        <w:jc w:val="both"/>
      </w:pPr>
      <w:r>
        <w:rPr>
          <w:rFonts w:ascii="Times New Roman" w:hAnsi="Times New Roman" w:cs="Times New Roman" w:eastAsia="Times New Roman"/>
          <w:b w:val="0"/>
          <w:i w:val="0"/>
          <w:sz w:val="24"/>
        </w:rPr>
        <w:t xml:space="preserve">Abbasi, B. N., Wu, Y., y Luo, Z. (2025). Exploring the impact of artificial intelligence on curriculum development in global higher education institutions. </w:t>
      </w:r>
      <w:r>
        <w:rPr>
          <w:rFonts w:ascii="Times New Roman" w:hAnsi="Times New Roman" w:cs="Times New Roman" w:eastAsia="Times New Roman"/>
          <w:b w:val="0"/>
          <w:i/>
          <w:sz w:val="24"/>
        </w:rPr>
        <w:t>Education and Information Technologies, 30</w:t>
      </w:r>
      <w:r>
        <w:rPr>
          <w:rFonts w:ascii="Times New Roman" w:hAnsi="Times New Roman" w:cs="Times New Roman" w:eastAsia="Times New Roman"/>
          <w:b w:val="0"/>
          <w:i w:val="0"/>
          <w:sz w:val="24"/>
        </w:rPr>
        <w:t xml:space="preserve"> (1), 547-581. https://doi.org/10.1007/s10639-024-13113-z</w:t>
      </w:r>
    </w:p>
    <w:p>
      <w:pPr>
        <w:spacing w:before="0" w:after="160" w:line="360" w:lineRule="auto"/>
        <w:ind w:left="720" w:hanging="720"/>
        <w:jc w:val="both"/>
      </w:pPr>
      <w:r>
        <w:rPr>
          <w:rFonts w:ascii="Times New Roman" w:hAnsi="Times New Roman" w:cs="Times New Roman" w:eastAsia="Times New Roman"/>
          <w:b w:val="0"/>
          <w:i w:val="0"/>
          <w:sz w:val="24"/>
        </w:rPr>
        <w:t xml:space="preserve">Andrade-Girón, D., Marín-Rodríguez, W., Sadivar-Rosas, J., Carreño-Cisneros, E., Susanibar-Ramírez, E., Zúñiga-Rojas, M., Ángeles-Morales, J., y Villarreal-Torres, H. (2024). Generative artificial intelligence in higher education learning: A review based on academic databases. </w:t>
      </w:r>
      <w:r>
        <w:rPr>
          <w:rFonts w:ascii="Times New Roman" w:hAnsi="Times New Roman" w:cs="Times New Roman" w:eastAsia="Times New Roman"/>
          <w:b w:val="0"/>
          <w:i/>
          <w:sz w:val="24"/>
        </w:rPr>
        <w:t>Iberoamerican Journal of Science Measurement and Communication, 4</w:t>
      </w:r>
      <w:r>
        <w:rPr>
          <w:rFonts w:ascii="Times New Roman" w:hAnsi="Times New Roman" w:cs="Times New Roman" w:eastAsia="Times New Roman"/>
          <w:b w:val="0"/>
          <w:i w:val="0"/>
          <w:sz w:val="24"/>
        </w:rPr>
        <w:t xml:space="preserve"> (1). https://doi.org/10.47909/ijsmc.101</w:t>
      </w:r>
    </w:p>
    <w:p>
      <w:pPr>
        <w:spacing w:before="0" w:after="160" w:line="360" w:lineRule="auto"/>
        <w:ind w:left="720" w:hanging="720"/>
        <w:jc w:val="both"/>
      </w:pPr>
      <w:r>
        <w:rPr>
          <w:rFonts w:ascii="Times New Roman" w:hAnsi="Times New Roman" w:cs="Times New Roman" w:eastAsia="Times New Roman"/>
          <w:b w:val="0"/>
          <w:i w:val="0"/>
          <w:sz w:val="24"/>
        </w:rPr>
        <w:t xml:space="preserve">Castillo, N. E. R., González, J. P., Campaña, F. A. A., Jiménez, M. G. Y., Jiménez, S. A. Y., y Guzmán, C. E. B. (2025). Enseñanza Universitaria 5.0: Inteligencia Artificial y Tecnologías Emergentes para la Innovación en la Educación Superior. </w:t>
      </w:r>
      <w:r>
        <w:rPr>
          <w:rFonts w:ascii="Times New Roman" w:hAnsi="Times New Roman" w:cs="Times New Roman" w:eastAsia="Times New Roman"/>
          <w:b w:val="0"/>
          <w:i/>
          <w:sz w:val="24"/>
        </w:rPr>
        <w:t>Seminars in Medical Writing and Education, 4,</w:t>
      </w:r>
      <w:r>
        <w:rPr>
          <w:rFonts w:ascii="Times New Roman" w:hAnsi="Times New Roman" w:cs="Times New Roman" w:eastAsia="Times New Roman"/>
          <w:b w:val="0"/>
          <w:i w:val="0"/>
          <w:sz w:val="24"/>
        </w:rPr>
        <w:t xml:space="preserve"> (Article 433). https://doi.org/10.56294/mw2025433</w:t>
      </w:r>
    </w:p>
    <w:p>
      <w:pPr>
        <w:spacing w:before="0" w:after="160" w:line="360" w:lineRule="auto"/>
        <w:ind w:left="720" w:hanging="720"/>
        <w:jc w:val="both"/>
      </w:pPr>
      <w:r>
        <w:rPr>
          <w:rFonts w:ascii="Times New Roman" w:hAnsi="Times New Roman" w:cs="Times New Roman" w:eastAsia="Times New Roman"/>
          <w:b w:val="0"/>
          <w:i w:val="0"/>
          <w:sz w:val="24"/>
        </w:rPr>
        <w:t xml:space="preserve">Comisión Económica para América Latina y el Caribe (2024). </w:t>
      </w:r>
      <w:r>
        <w:rPr>
          <w:rFonts w:ascii="Times New Roman" w:hAnsi="Times New Roman" w:cs="Times New Roman" w:eastAsia="Times New Roman"/>
          <w:b w:val="0"/>
          <w:i/>
          <w:sz w:val="24"/>
        </w:rPr>
        <w:t>Estado de la banda ancha en América Latina y el Caribe 2024</w:t>
      </w:r>
      <w:r>
        <w:rPr>
          <w:rFonts w:ascii="Times New Roman" w:hAnsi="Times New Roman" w:cs="Times New Roman" w:eastAsia="Times New Roman"/>
          <w:b w:val="0"/>
          <w:i w:val="0"/>
          <w:sz w:val="24"/>
        </w:rPr>
        <w:t>. Naciones Unidas. https://repositorio.cepal.org/handle/11362/70082</w:t>
      </w:r>
    </w:p>
    <w:p>
      <w:pPr>
        <w:spacing w:before="0" w:after="160" w:line="360" w:lineRule="auto"/>
        <w:ind w:left="720" w:hanging="720"/>
        <w:jc w:val="both"/>
      </w:pPr>
      <w:r>
        <w:rPr>
          <w:rFonts w:ascii="Times New Roman" w:hAnsi="Times New Roman" w:cs="Times New Roman" w:eastAsia="Times New Roman"/>
          <w:b w:val="0"/>
          <w:i w:val="0"/>
          <w:sz w:val="24"/>
        </w:rPr>
        <w:t xml:space="preserve">Couldry, N., y Mejías, U. A. (2019). </w:t>
      </w:r>
      <w:r>
        <w:rPr>
          <w:rFonts w:ascii="Times New Roman" w:hAnsi="Times New Roman" w:cs="Times New Roman" w:eastAsia="Times New Roman"/>
          <w:b w:val="0"/>
          <w:i/>
          <w:sz w:val="24"/>
        </w:rPr>
        <w:t>The costs of connection: How data is colonizing human life and appropriating it for capitalism</w:t>
      </w:r>
      <w:r>
        <w:rPr>
          <w:rFonts w:ascii="Times New Roman" w:hAnsi="Times New Roman" w:cs="Times New Roman" w:eastAsia="Times New Roman"/>
          <w:b w:val="0"/>
          <w:i w:val="0"/>
          <w:sz w:val="24"/>
        </w:rPr>
        <w:t>. Stanford University Press. https://doi.org/10.1515/9781503609754</w:t>
      </w:r>
    </w:p>
    <w:p>
      <w:pPr>
        <w:spacing w:before="0" w:after="160" w:line="360" w:lineRule="auto"/>
        <w:ind w:left="720" w:hanging="720"/>
        <w:jc w:val="both"/>
      </w:pPr>
      <w:r>
        <w:rPr>
          <w:rFonts w:ascii="Times New Roman" w:hAnsi="Times New Roman" w:cs="Times New Roman" w:eastAsia="Times New Roman"/>
          <w:b w:val="0"/>
          <w:i w:val="0"/>
          <w:sz w:val="24"/>
        </w:rPr>
        <w:t xml:space="preserve">De la Torre, A., y Baldeon, M. (2024). Generative Artificial Intelligence in Latin American Higher Education: A Systematic Literature Review. En </w:t>
      </w:r>
      <w:r>
        <w:rPr>
          <w:rFonts w:ascii="Times New Roman" w:hAnsi="Times New Roman" w:cs="Times New Roman" w:eastAsia="Times New Roman"/>
          <w:b w:val="0"/>
          <w:i/>
          <w:sz w:val="24"/>
        </w:rPr>
        <w:t>Proceedings of the International Symposium on Digital Forensics and Security</w:t>
      </w:r>
      <w:r>
        <w:rPr>
          <w:rFonts w:ascii="Times New Roman" w:hAnsi="Times New Roman" w:cs="Times New Roman" w:eastAsia="Times New Roman"/>
          <w:b w:val="0"/>
          <w:i w:val="0"/>
          <w:sz w:val="24"/>
        </w:rPr>
        <w:t xml:space="preserve"> (pp. 1-7). IEEE. https://doi.org/10.1109/IS-DFS60797.2024.10527283</w:t>
      </w:r>
    </w:p>
    <w:p>
      <w:pPr>
        <w:spacing w:before="0" w:after="160" w:line="360" w:lineRule="auto"/>
        <w:ind w:left="720" w:hanging="720"/>
        <w:jc w:val="both"/>
      </w:pPr>
      <w:r>
        <w:rPr>
          <w:rFonts w:ascii="Times New Roman" w:hAnsi="Times New Roman" w:cs="Times New Roman" w:eastAsia="Times New Roman"/>
          <w:b w:val="0"/>
          <w:i w:val="0"/>
          <w:sz w:val="24"/>
        </w:rPr>
        <w:t xml:space="preserve">De Sousa Santos, B. (2010). </w:t>
      </w:r>
      <w:r>
        <w:rPr>
          <w:rFonts w:ascii="Times New Roman" w:hAnsi="Times New Roman" w:cs="Times New Roman" w:eastAsia="Times New Roman"/>
          <w:b w:val="0"/>
          <w:i/>
          <w:sz w:val="24"/>
        </w:rPr>
        <w:t>Descolonizar el saber, reinventar el poder.</w:t>
      </w:r>
      <w:r>
        <w:rPr>
          <w:rFonts w:ascii="Times New Roman" w:hAnsi="Times New Roman" w:cs="Times New Roman" w:eastAsia="Times New Roman"/>
          <w:b w:val="0"/>
          <w:i w:val="0"/>
          <w:sz w:val="24"/>
        </w:rPr>
        <w:t xml:space="preserve"> Ediciones Trilce y Extensión Universitaria.</w:t>
      </w:r>
    </w:p>
    <w:p>
      <w:pPr>
        <w:spacing w:before="0" w:after="160" w:line="360" w:lineRule="auto"/>
        <w:ind w:left="720" w:hanging="720"/>
        <w:jc w:val="both"/>
      </w:pPr>
      <w:r>
        <w:rPr>
          <w:rFonts w:ascii="Times New Roman" w:hAnsi="Times New Roman" w:cs="Times New Roman" w:eastAsia="Times New Roman"/>
          <w:b w:val="0"/>
          <w:i w:val="0"/>
          <w:sz w:val="24"/>
        </w:rPr>
        <w:t xml:space="preserve">Fernández, M., Román-Acosta, D., Jurado, A. A., Limón-Domínguez, D., y Torres-Fernández, C. (2024). Artificial Intelligence in Latin American Universities: Emerging Challenges. </w:t>
      </w:r>
      <w:r>
        <w:rPr>
          <w:rFonts w:ascii="Times New Roman" w:hAnsi="Times New Roman" w:cs="Times New Roman" w:eastAsia="Times New Roman"/>
          <w:b w:val="0"/>
          <w:i/>
          <w:sz w:val="24"/>
        </w:rPr>
        <w:t>Computación y Sistemas, 28</w:t>
      </w:r>
      <w:r>
        <w:rPr>
          <w:rFonts w:ascii="Times New Roman" w:hAnsi="Times New Roman" w:cs="Times New Roman" w:eastAsia="Times New Roman"/>
          <w:b w:val="0"/>
          <w:i w:val="0"/>
          <w:sz w:val="24"/>
        </w:rPr>
        <w:t xml:space="preserve"> (2), 435-450. https://doi.org/10.13053/CyS-28-2-4822</w:t>
      </w:r>
    </w:p>
    <w:p>
      <w:pPr>
        <w:spacing w:before="0" w:after="160" w:line="360" w:lineRule="auto"/>
        <w:ind w:left="720" w:hanging="720"/>
        <w:jc w:val="both"/>
      </w:pPr>
      <w:r>
        <w:rPr>
          <w:rFonts w:ascii="Times New Roman" w:hAnsi="Times New Roman" w:cs="Times New Roman" w:eastAsia="Times New Roman"/>
          <w:b w:val="0"/>
          <w:i w:val="0"/>
          <w:sz w:val="24"/>
        </w:rPr>
        <w:t xml:space="preserve">Filgueiras, F. (2025). Artificial intelligence and governance challenges in Latin America - the game between decolonization and dependence. En M. Parycek y G. V. Pereira (eds.), </w:t>
      </w:r>
      <w:r>
        <w:rPr>
          <w:rFonts w:ascii="Times New Roman" w:hAnsi="Times New Roman" w:cs="Times New Roman" w:eastAsia="Times New Roman"/>
          <w:b w:val="0"/>
          <w:i/>
          <w:sz w:val="24"/>
        </w:rPr>
        <w:t>Handbook on Algorithmic Governance and Public Policy</w:t>
      </w:r>
      <w:r>
        <w:rPr>
          <w:rFonts w:ascii="Times New Roman" w:hAnsi="Times New Roman" w:cs="Times New Roman" w:eastAsia="Times New Roman"/>
          <w:b w:val="0"/>
          <w:i w:val="0"/>
          <w:sz w:val="24"/>
        </w:rPr>
        <w:t xml:space="preserve"> (pp. 198-221). Edward Elgar Publishing. https://doi.org/10.4337/9781035301348.00018</w:t>
      </w:r>
    </w:p>
    <w:p>
      <w:pPr>
        <w:spacing w:before="0" w:after="160" w:line="360" w:lineRule="auto"/>
        <w:ind w:left="720" w:hanging="720"/>
        <w:jc w:val="both"/>
      </w:pPr>
      <w:r>
        <w:rPr>
          <w:rFonts w:ascii="Times New Roman" w:hAnsi="Times New Roman" w:cs="Times New Roman" w:eastAsia="Times New Roman"/>
          <w:b w:val="0"/>
          <w:i w:val="0"/>
          <w:sz w:val="24"/>
        </w:rPr>
        <w:t xml:space="preserve">Flores, E. M., Mendoza, D. J., Navarro, M. C., y Palacios-Trujillo, E. P. (2025). Linear regression model to predict the use of artificial intelligence in experimental science students. </w:t>
      </w:r>
      <w:r>
        <w:rPr>
          <w:rFonts w:ascii="Times New Roman" w:hAnsi="Times New Roman" w:cs="Times New Roman" w:eastAsia="Times New Roman"/>
          <w:b w:val="0"/>
          <w:i/>
          <w:sz w:val="24"/>
        </w:rPr>
        <w:t>International Electronic Journal of Mathematics Education, 20</w:t>
      </w:r>
      <w:r>
        <w:rPr>
          <w:rFonts w:ascii="Times New Roman" w:hAnsi="Times New Roman" w:cs="Times New Roman" w:eastAsia="Times New Roman"/>
          <w:b w:val="0"/>
          <w:i w:val="0"/>
          <w:sz w:val="24"/>
        </w:rPr>
        <w:t xml:space="preserve"> (1), Article em0807. https://doi.org/10.29333/iejme/15736</w:t>
      </w:r>
    </w:p>
    <w:p>
      <w:pPr>
        <w:spacing w:before="0" w:after="160" w:line="360" w:lineRule="auto"/>
        <w:ind w:left="720" w:hanging="720"/>
        <w:jc w:val="both"/>
      </w:pPr>
      <w:r>
        <w:rPr>
          <w:rFonts w:ascii="Times New Roman" w:hAnsi="Times New Roman" w:cs="Times New Roman" w:eastAsia="Times New Roman"/>
          <w:b w:val="0"/>
          <w:i w:val="0"/>
          <w:sz w:val="24"/>
        </w:rPr>
        <w:t xml:space="preserve">Fraser, N. (2008). </w:t>
      </w:r>
      <w:r>
        <w:rPr>
          <w:rFonts w:ascii="Times New Roman" w:hAnsi="Times New Roman" w:cs="Times New Roman" w:eastAsia="Times New Roman"/>
          <w:b w:val="0"/>
          <w:i/>
          <w:sz w:val="24"/>
        </w:rPr>
        <w:t>Scales of justice: Reimagining political space in a globalizing world</w:t>
      </w:r>
      <w:r>
        <w:rPr>
          <w:rFonts w:ascii="Times New Roman" w:hAnsi="Times New Roman" w:cs="Times New Roman" w:eastAsia="Times New Roman"/>
          <w:b w:val="0"/>
          <w:i w:val="0"/>
          <w:sz w:val="24"/>
        </w:rPr>
        <w:t>. Polity Press.</w:t>
      </w:r>
    </w:p>
    <w:p>
      <w:pPr>
        <w:spacing w:before="0" w:after="160" w:line="360" w:lineRule="auto"/>
        <w:ind w:left="720" w:hanging="720"/>
        <w:jc w:val="both"/>
      </w:pPr>
      <w:r>
        <w:rPr>
          <w:rFonts w:ascii="Times New Roman" w:hAnsi="Times New Roman" w:cs="Times New Roman" w:eastAsia="Times New Roman"/>
          <w:b w:val="0"/>
          <w:i w:val="0"/>
          <w:sz w:val="24"/>
        </w:rPr>
        <w:t xml:space="preserve">Freire, P. (2005). </w:t>
      </w:r>
      <w:r>
        <w:rPr>
          <w:rFonts w:ascii="Times New Roman" w:hAnsi="Times New Roman" w:cs="Times New Roman" w:eastAsia="Times New Roman"/>
          <w:b w:val="0"/>
          <w:i/>
          <w:sz w:val="24"/>
        </w:rPr>
        <w:t>Pedago del oprimido.</w:t>
      </w:r>
      <w:r>
        <w:rPr>
          <w:rFonts w:ascii="Times New Roman" w:hAnsi="Times New Roman" w:cs="Times New Roman" w:eastAsia="Times New Roman"/>
          <w:b w:val="0"/>
          <w:i w:val="0"/>
          <w:sz w:val="24"/>
        </w:rPr>
        <w:t xml:space="preserve"> Siglo XXI Editores.</w:t>
      </w:r>
    </w:p>
    <w:p>
      <w:pPr>
        <w:spacing w:before="0" w:after="160" w:line="360" w:lineRule="auto"/>
        <w:ind w:left="720" w:hanging="720"/>
        <w:jc w:val="both"/>
      </w:pPr>
      <w:r>
        <w:rPr>
          <w:rFonts w:ascii="Times New Roman" w:hAnsi="Times New Roman" w:cs="Times New Roman" w:eastAsia="Times New Roman"/>
          <w:b w:val="0"/>
          <w:i w:val="0"/>
          <w:sz w:val="24"/>
        </w:rPr>
        <w:t xml:space="preserve">González, V. H., Lucero-Baldevenites, E. V., Ruiz, M. D. J. A., Bracho-Fuenmayor, P. L., y de Lamarque, C. P. C. (2025). Inteligencia artificial en la educación superior latinoamericana: implementaciones, desafíos éticos y efectividad pedagógica. </w:t>
      </w:r>
      <w:r>
        <w:rPr>
          <w:rFonts w:ascii="Times New Roman" w:hAnsi="Times New Roman" w:cs="Times New Roman" w:eastAsia="Times New Roman"/>
          <w:b w:val="0"/>
          <w:i/>
          <w:sz w:val="24"/>
        </w:rPr>
        <w:t>LatIA, 3</w:t>
      </w:r>
      <w:r>
        <w:rPr>
          <w:rFonts w:ascii="Times New Roman" w:hAnsi="Times New Roman" w:cs="Times New Roman" w:eastAsia="Times New Roman"/>
          <w:b w:val="0"/>
          <w:i w:val="0"/>
          <w:sz w:val="24"/>
        </w:rPr>
        <w:t>, Article 304. https://doi.org/10.62486/latia2025304</w:t>
      </w:r>
    </w:p>
    <w:p>
      <w:pPr>
        <w:spacing w:before="0" w:after="160" w:line="360" w:lineRule="auto"/>
        <w:ind w:left="720" w:hanging="720"/>
        <w:jc w:val="both"/>
      </w:pPr>
      <w:r>
        <w:rPr>
          <w:rFonts w:ascii="Times New Roman" w:hAnsi="Times New Roman" w:cs="Times New Roman" w:eastAsia="Times New Roman"/>
          <w:b w:val="0"/>
          <w:i w:val="0"/>
          <w:sz w:val="24"/>
        </w:rPr>
        <w:t xml:space="preserve">Grajeda, A., Córdova, P., Córdova, J. P., Laguna-Tapia, A., Burgos, J., Rodríguez, L., Arandia, M., y Sanjinés, A. (2024). Embracing artificial intelligence in the arts classroom: understanding student perceptions and emotional reactions to AI tools. </w:t>
      </w:r>
      <w:r>
        <w:rPr>
          <w:rFonts w:ascii="Times New Roman" w:hAnsi="Times New Roman" w:cs="Times New Roman" w:eastAsia="Times New Roman"/>
          <w:b w:val="0"/>
          <w:i/>
          <w:sz w:val="24"/>
        </w:rPr>
        <w:t>Cogent Education, 11</w:t>
      </w:r>
      <w:r>
        <w:rPr>
          <w:rFonts w:ascii="Times New Roman" w:hAnsi="Times New Roman" w:cs="Times New Roman" w:eastAsia="Times New Roman"/>
          <w:b w:val="0"/>
          <w:i w:val="0"/>
          <w:sz w:val="24"/>
        </w:rPr>
        <w:t xml:space="preserve"> (1), Article 2378271. https://doi.org/10.1080/2331186X.2024.2378271</w:t>
      </w:r>
    </w:p>
    <w:p>
      <w:pPr>
        <w:spacing w:before="0" w:after="160" w:line="360" w:lineRule="auto"/>
        <w:ind w:left="720" w:hanging="720"/>
        <w:jc w:val="both"/>
      </w:pPr>
      <w:r>
        <w:rPr>
          <w:rFonts w:ascii="Times New Roman" w:hAnsi="Times New Roman" w:cs="Times New Roman" w:eastAsia="Times New Roman"/>
          <w:b w:val="0"/>
          <w:i w:val="0"/>
          <w:sz w:val="24"/>
        </w:rPr>
        <w:t xml:space="preserve">Gutiérrez-Leefmans, M., Picazo-Vela, S., y Kareem, O. (2025). Adoption of artificial intelligence in higher education: a diffusion of innovation approach. </w:t>
      </w:r>
      <w:r>
        <w:rPr>
          <w:rFonts w:ascii="Times New Roman" w:hAnsi="Times New Roman" w:cs="Times New Roman" w:eastAsia="Times New Roman"/>
          <w:b w:val="0"/>
          <w:i/>
          <w:sz w:val="24"/>
        </w:rPr>
        <w:t>TQM Journal, 38</w:t>
      </w:r>
      <w:r>
        <w:rPr>
          <w:rFonts w:ascii="Times New Roman" w:hAnsi="Times New Roman" w:cs="Times New Roman" w:eastAsia="Times New Roman"/>
          <w:b w:val="0"/>
          <w:i w:val="0"/>
          <w:sz w:val="24"/>
        </w:rPr>
        <w:t xml:space="preserve"> (3). https://doi.org/10.1108/TQM-12-2024-0523</w:t>
      </w:r>
    </w:p>
    <w:p>
      <w:pPr>
        <w:spacing w:before="0" w:after="160" w:line="360" w:lineRule="auto"/>
        <w:ind w:left="720" w:hanging="720"/>
        <w:jc w:val="both"/>
      </w:pPr>
      <w:r>
        <w:rPr>
          <w:rFonts w:ascii="Times New Roman" w:hAnsi="Times New Roman" w:cs="Times New Roman" w:eastAsia="Times New Roman"/>
          <w:b w:val="0"/>
          <w:i w:val="0"/>
          <w:sz w:val="24"/>
        </w:rPr>
        <w:t xml:space="preserve">Machado, O. J. A., y Estupiñán, J. (2024). Árbol de aprendizaje para garantizar el acceso y uso de programas interactivos de educación, capacitación y formación integral en zonas amazónicas, rurales e insulares del Ecuador. </w:t>
      </w:r>
      <w:r>
        <w:rPr>
          <w:rFonts w:ascii="Times New Roman" w:hAnsi="Times New Roman" w:cs="Times New Roman" w:eastAsia="Times New Roman"/>
          <w:b w:val="0"/>
          <w:i/>
          <w:sz w:val="24"/>
        </w:rPr>
        <w:t>Salud, Ciencia y Tecnología - Serie de Conferencias, 3</w:t>
      </w:r>
      <w:r>
        <w:rPr>
          <w:rFonts w:ascii="Times New Roman" w:hAnsi="Times New Roman" w:cs="Times New Roman" w:eastAsia="Times New Roman"/>
          <w:b w:val="0"/>
          <w:i w:val="0"/>
          <w:sz w:val="24"/>
        </w:rPr>
        <w:t>, Artículo 1139. https://doi.org/10.56294/sctconf20241139</w:t>
      </w:r>
    </w:p>
    <w:p>
      <w:pPr>
        <w:spacing w:before="0" w:after="160" w:line="360" w:lineRule="auto"/>
        <w:ind w:left="720" w:hanging="720"/>
        <w:jc w:val="both"/>
      </w:pPr>
      <w:r>
        <w:rPr>
          <w:rFonts w:ascii="Times New Roman" w:hAnsi="Times New Roman" w:cs="Times New Roman" w:eastAsia="Times New Roman"/>
          <w:b w:val="0"/>
          <w:i w:val="0"/>
          <w:sz w:val="24"/>
        </w:rPr>
        <w:t xml:space="preserve">Mello-Román, J. D., Escobar, R. D., Segura, M., de la Iglesia, M. C., Giménez, S., Hernández, A., Mello-Román, J. C., y Pérez-Estigarribia, P. E. (2025). Key Predictors of School Dropout in Paraguay: A Big Data Analysis. </w:t>
      </w:r>
      <w:r>
        <w:rPr>
          <w:rFonts w:ascii="Times New Roman" w:hAnsi="Times New Roman" w:cs="Times New Roman" w:eastAsia="Times New Roman"/>
          <w:b w:val="0"/>
          <w:i/>
          <w:sz w:val="24"/>
        </w:rPr>
        <w:t>Revista de Educación, 1</w:t>
      </w:r>
      <w:r>
        <w:rPr>
          <w:rFonts w:ascii="Times New Roman" w:hAnsi="Times New Roman" w:cs="Times New Roman" w:eastAsia="Times New Roman"/>
          <w:b w:val="0"/>
          <w:i w:val="0"/>
          <w:sz w:val="24"/>
        </w:rPr>
        <w:t xml:space="preserve"> (409), 162-181. https://doi.org/10.4438/1988-592X-RE-2025-409-686</w:t>
      </w:r>
    </w:p>
    <w:p>
      <w:pPr>
        <w:spacing w:before="0" w:after="160" w:line="360" w:lineRule="auto"/>
        <w:ind w:left="720" w:hanging="720"/>
        <w:jc w:val="both"/>
      </w:pPr>
      <w:r>
        <w:rPr>
          <w:rFonts w:ascii="Times New Roman" w:hAnsi="Times New Roman" w:cs="Times New Roman" w:eastAsia="Times New Roman"/>
          <w:b w:val="0"/>
          <w:i w:val="0"/>
          <w:sz w:val="24"/>
        </w:rPr>
        <w:t xml:space="preserve">Miralrio, A., Muñoz-Villota, J., y Camacho-Zúñiga, C. (2024). From flexibility to adaptive learning: a pre-Covid-19 perspective on distance education in Latin America. </w:t>
      </w:r>
      <w:r>
        <w:rPr>
          <w:rFonts w:ascii="Times New Roman" w:hAnsi="Times New Roman" w:cs="Times New Roman" w:eastAsia="Times New Roman"/>
          <w:b w:val="0"/>
          <w:i/>
          <w:sz w:val="24"/>
        </w:rPr>
        <w:t>Frontiers in Computer Science, 6</w:t>
      </w:r>
      <w:r>
        <w:rPr>
          <w:rFonts w:ascii="Times New Roman" w:hAnsi="Times New Roman" w:cs="Times New Roman" w:eastAsia="Times New Roman"/>
          <w:b w:val="0"/>
          <w:i w:val="0"/>
          <w:sz w:val="24"/>
        </w:rPr>
        <w:t>, Article 1250992. https://doi.org/10.3389/fcomp.2024.1250992</w:t>
      </w:r>
    </w:p>
    <w:p>
      <w:pPr>
        <w:spacing w:before="0" w:after="160" w:line="360" w:lineRule="auto"/>
        <w:ind w:left="720" w:hanging="720"/>
        <w:jc w:val="both"/>
      </w:pPr>
      <w:r>
        <w:rPr>
          <w:rFonts w:ascii="Times New Roman" w:hAnsi="Times New Roman" w:cs="Times New Roman" w:eastAsia="Times New Roman"/>
          <w:b w:val="0"/>
          <w:i w:val="0"/>
          <w:sz w:val="24"/>
        </w:rPr>
        <w:t xml:space="preserve">Moya, B. A. (2024). Academic Integrity Policies in Hispanic South American Higher Education: Status and Recommendations. En </w:t>
      </w:r>
      <w:r>
        <w:rPr>
          <w:rFonts w:ascii="Times New Roman" w:hAnsi="Times New Roman" w:cs="Times New Roman" w:eastAsia="Times New Roman"/>
          <w:b w:val="0"/>
          <w:i/>
          <w:sz w:val="24"/>
        </w:rPr>
        <w:t>Springer International Handbooks of Education, Part F2304</w:t>
      </w:r>
      <w:r>
        <w:rPr>
          <w:rFonts w:ascii="Times New Roman" w:hAnsi="Times New Roman" w:cs="Times New Roman" w:eastAsia="Times New Roman"/>
          <w:b w:val="0"/>
          <w:i w:val="0"/>
          <w:sz w:val="24"/>
        </w:rPr>
        <w:t xml:space="preserve"> (pp. 911-933). Springer. https://doi.org/10.1007/978-3-031-54144-5_122</w:t>
      </w:r>
    </w:p>
    <w:p>
      <w:pPr>
        <w:spacing w:before="0" w:after="160" w:line="360" w:lineRule="auto"/>
        <w:ind w:left="720" w:hanging="720"/>
        <w:jc w:val="both"/>
      </w:pPr>
      <w:r>
        <w:rPr>
          <w:rFonts w:ascii="Times New Roman" w:hAnsi="Times New Roman" w:cs="Times New Roman" w:eastAsia="Times New Roman"/>
          <w:b w:val="0"/>
          <w:i w:val="0"/>
          <w:sz w:val="24"/>
        </w:rPr>
        <w:t xml:space="preserve">Mumtaz, S., Carmichael, J., Weiss, M., y Nimon-Peters, A. (2025). Ethical use of artificial intelligence-based tools in higher education: Are future business leaders ready? </w:t>
      </w:r>
      <w:r>
        <w:rPr>
          <w:rFonts w:ascii="Times New Roman" w:hAnsi="Times New Roman" w:cs="Times New Roman" w:eastAsia="Times New Roman"/>
          <w:b w:val="0"/>
          <w:i/>
          <w:sz w:val="24"/>
        </w:rPr>
        <w:t>Education and Information Technologies, 30</w:t>
      </w:r>
      <w:r>
        <w:rPr>
          <w:rFonts w:ascii="Times New Roman" w:hAnsi="Times New Roman" w:cs="Times New Roman" w:eastAsia="Times New Roman"/>
          <w:b w:val="0"/>
          <w:i w:val="0"/>
          <w:sz w:val="24"/>
        </w:rPr>
        <w:t xml:space="preserve"> (6), 7293-7319. https://doi.org/10.1007/s10639-024-13099-8</w:t>
      </w:r>
    </w:p>
    <w:p>
      <w:pPr>
        <w:spacing w:before="0" w:after="160" w:line="360" w:lineRule="auto"/>
        <w:ind w:left="720" w:hanging="720"/>
        <w:jc w:val="both"/>
      </w:pPr>
      <w:r>
        <w:rPr>
          <w:rFonts w:ascii="Times New Roman" w:hAnsi="Times New Roman" w:cs="Times New Roman" w:eastAsia="Times New Roman"/>
          <w:b w:val="0"/>
          <w:i w:val="0"/>
          <w:sz w:val="24"/>
        </w:rPr>
        <w:t xml:space="preserve">Nussbaum, M. C. (2011). </w:t>
      </w:r>
      <w:r>
        <w:rPr>
          <w:rFonts w:ascii="Times New Roman" w:hAnsi="Times New Roman" w:cs="Times New Roman" w:eastAsia="Times New Roman"/>
          <w:b w:val="0"/>
          <w:i/>
          <w:sz w:val="24"/>
        </w:rPr>
        <w:t>Creating capabilities: The human development approach.</w:t>
      </w:r>
      <w:r>
        <w:rPr>
          <w:rFonts w:ascii="Times New Roman" w:hAnsi="Times New Roman" w:cs="Times New Roman" w:eastAsia="Times New Roman"/>
          <w:b w:val="0"/>
          <w:i w:val="0"/>
          <w:sz w:val="24"/>
        </w:rPr>
        <w:t xml:space="preserve"> Harvard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Olaya, A. J. N., y Bajaña, D. I. C. (2025). Transformando el pensamiento crítico y creativo: el impacto de la inteligencia artificial generativa en la educación universitaria. </w:t>
      </w:r>
      <w:r>
        <w:rPr>
          <w:rFonts w:ascii="Times New Roman" w:hAnsi="Times New Roman" w:cs="Times New Roman" w:eastAsia="Times New Roman"/>
          <w:b w:val="0"/>
          <w:i/>
          <w:sz w:val="24"/>
        </w:rPr>
        <w:t>Salud, Ciencia y Tecnología, 5</w:t>
      </w:r>
      <w:r>
        <w:rPr>
          <w:rFonts w:ascii="Times New Roman" w:hAnsi="Times New Roman" w:cs="Times New Roman" w:eastAsia="Times New Roman"/>
          <w:b w:val="0"/>
          <w:i w:val="0"/>
          <w:sz w:val="24"/>
        </w:rPr>
        <w:t>, 1763. https://doi.org/10.56294/saludcyt20251763</w:t>
      </w:r>
    </w:p>
    <w:p>
      <w:pPr>
        <w:spacing w:before="0" w:after="160" w:line="360" w:lineRule="auto"/>
        <w:ind w:left="720" w:hanging="720"/>
        <w:jc w:val="both"/>
      </w:pPr>
      <w:r>
        <w:rPr>
          <w:rFonts w:ascii="Times New Roman" w:hAnsi="Times New Roman" w:cs="Times New Roman" w:eastAsia="Times New Roman"/>
          <w:b w:val="0"/>
          <w:i w:val="0"/>
          <w:sz w:val="24"/>
        </w:rPr>
        <w:t xml:space="preserve">Palma, E., y Elgueta, F. M. (2024). Artificial intelligence and legal training: sociocritical approach; Intel·ligència artificial i formació jurídica: una aproximació sociocrítica; Inteligencia artificial y formación jurídica: una aproximación sociocrítica. </w:t>
      </w:r>
      <w:r>
        <w:rPr>
          <w:rFonts w:ascii="Times New Roman" w:hAnsi="Times New Roman" w:cs="Times New Roman" w:eastAsia="Times New Roman"/>
          <w:b w:val="0"/>
          <w:i/>
          <w:sz w:val="24"/>
        </w:rPr>
        <w:t>Revista de Educación y Derecho</w:t>
      </w:r>
      <w:r>
        <w:rPr>
          <w:rFonts w:ascii="Times New Roman" w:hAnsi="Times New Roman" w:cs="Times New Roman" w:eastAsia="Times New Roman"/>
          <w:b w:val="0"/>
          <w:i w:val="0"/>
          <w:sz w:val="24"/>
        </w:rPr>
        <w:t>, 249– 286. https://doi.org/10.1344/REYD2024.2Extraordinario.49190</w:t>
      </w:r>
    </w:p>
    <w:p>
      <w:pPr>
        <w:spacing w:before="0" w:after="160" w:line="360" w:lineRule="auto"/>
        <w:ind w:left="720" w:hanging="720"/>
        <w:jc w:val="both"/>
      </w:pPr>
      <w:r>
        <w:rPr>
          <w:rFonts w:ascii="Times New Roman" w:hAnsi="Times New Roman" w:cs="Times New Roman" w:eastAsia="Times New Roman"/>
          <w:b w:val="0"/>
          <w:i w:val="0"/>
          <w:sz w:val="24"/>
        </w:rPr>
        <w:t xml:space="preserve">Pérez, G. A. J., y Pérez, A. J. (2025). Transforming Digital Education: ChatGPT in Personalizing Learning and Intelligent Tutoring. </w:t>
      </w:r>
      <w:r>
        <w:rPr>
          <w:rFonts w:ascii="Times New Roman" w:hAnsi="Times New Roman" w:cs="Times New Roman" w:eastAsia="Times New Roman"/>
          <w:b w:val="0"/>
          <w:i/>
          <w:sz w:val="24"/>
        </w:rPr>
        <w:t>Lecture Notes on Data Engineering and Communications Technologies, 262</w:t>
      </w:r>
      <w:r>
        <w:rPr>
          <w:rFonts w:ascii="Times New Roman" w:hAnsi="Times New Roman" w:cs="Times New Roman" w:eastAsia="Times New Roman"/>
          <w:b w:val="0"/>
          <w:i w:val="0"/>
          <w:sz w:val="24"/>
        </w:rPr>
        <w:t>, (pp. 139-152). https://doi.org/10.1007/978-3-031-98476-1_12</w:t>
      </w:r>
    </w:p>
    <w:p>
      <w:pPr>
        <w:spacing w:before="0" w:after="160" w:line="360" w:lineRule="auto"/>
        <w:ind w:left="720" w:hanging="720"/>
        <w:jc w:val="both"/>
      </w:pPr>
      <w:r>
        <w:rPr>
          <w:rFonts w:ascii="Times New Roman" w:hAnsi="Times New Roman" w:cs="Times New Roman" w:eastAsia="Times New Roman"/>
          <w:b w:val="0"/>
          <w:i w:val="0"/>
          <w:sz w:val="24"/>
        </w:rPr>
        <w:t xml:space="preserve">Rawls, J. (1971). </w:t>
      </w:r>
      <w:r>
        <w:rPr>
          <w:rFonts w:ascii="Times New Roman" w:hAnsi="Times New Roman" w:cs="Times New Roman" w:eastAsia="Times New Roman"/>
          <w:b w:val="0"/>
          <w:i/>
          <w:sz w:val="24"/>
        </w:rPr>
        <w:t>A theory of justice</w:t>
      </w:r>
      <w:r>
        <w:rPr>
          <w:rFonts w:ascii="Times New Roman" w:hAnsi="Times New Roman" w:cs="Times New Roman" w:eastAsia="Times New Roman"/>
          <w:b w:val="0"/>
          <w:i w:val="0"/>
          <w:sz w:val="24"/>
        </w:rPr>
        <w:t>. Harvard University Press. https://doi.org/10.2307/j.ctvjf9z6v</w:t>
      </w:r>
    </w:p>
    <w:p>
      <w:pPr>
        <w:spacing w:before="0" w:after="160" w:line="360" w:lineRule="auto"/>
        <w:ind w:left="720" w:hanging="720"/>
        <w:jc w:val="both"/>
      </w:pPr>
      <w:r>
        <w:rPr>
          <w:rFonts w:ascii="Times New Roman" w:hAnsi="Times New Roman" w:cs="Times New Roman" w:eastAsia="Times New Roman"/>
          <w:b w:val="0"/>
          <w:i w:val="0"/>
          <w:sz w:val="24"/>
        </w:rPr>
        <w:t xml:space="preserve">Ricaurte, P. (2019). Data epistemologies, the coloniality of power, and resistance. </w:t>
      </w:r>
      <w:r>
        <w:rPr>
          <w:rFonts w:ascii="Times New Roman" w:hAnsi="Times New Roman" w:cs="Times New Roman" w:eastAsia="Times New Roman"/>
          <w:b w:val="0"/>
          <w:i/>
          <w:sz w:val="24"/>
        </w:rPr>
        <w:t>Television y New Media, 20</w:t>
      </w:r>
      <w:r>
        <w:rPr>
          <w:rFonts w:ascii="Times New Roman" w:hAnsi="Times New Roman" w:cs="Times New Roman" w:eastAsia="Times New Roman"/>
          <w:b w:val="0"/>
          <w:i w:val="0"/>
          <w:sz w:val="24"/>
        </w:rPr>
        <w:t xml:space="preserve"> (4), 350-365. https://doi.org/10.1177/1527476419831640</w:t>
      </w:r>
    </w:p>
    <w:p>
      <w:pPr>
        <w:spacing w:before="0" w:after="160" w:line="360" w:lineRule="auto"/>
        <w:ind w:left="720" w:hanging="720"/>
        <w:jc w:val="both"/>
      </w:pPr>
      <w:r>
        <w:rPr>
          <w:rFonts w:ascii="Times New Roman" w:hAnsi="Times New Roman" w:cs="Times New Roman" w:eastAsia="Times New Roman"/>
          <w:b w:val="0"/>
          <w:i w:val="0"/>
          <w:sz w:val="24"/>
        </w:rPr>
        <w:t xml:space="preserve">Rivadeneira, L., de Luna, D. B., y Fernández, C. (2025). Exploring the role of ChatGPT in higher education institutions: Where does Latin America stand? </w:t>
      </w:r>
      <w:r>
        <w:rPr>
          <w:rFonts w:ascii="Times New Roman" w:hAnsi="Times New Roman" w:cs="Times New Roman" w:eastAsia="Times New Roman"/>
          <w:b w:val="0"/>
          <w:i/>
          <w:sz w:val="24"/>
        </w:rPr>
        <w:t>Digital Government: Research and Practice, 6</w:t>
      </w:r>
      <w:r>
        <w:rPr>
          <w:rFonts w:ascii="Times New Roman" w:hAnsi="Times New Roman" w:cs="Times New Roman" w:eastAsia="Times New Roman"/>
          <w:b w:val="0"/>
          <w:i w:val="0"/>
          <w:sz w:val="24"/>
        </w:rPr>
        <w:t xml:space="preserve"> (2), Artículo 19. https://doi.org/10.1145/3689370</w:t>
      </w:r>
    </w:p>
    <w:p>
      <w:pPr>
        <w:spacing w:before="0" w:after="160" w:line="360" w:lineRule="auto"/>
        <w:ind w:left="720" w:hanging="720"/>
        <w:jc w:val="both"/>
      </w:pPr>
      <w:r>
        <w:rPr>
          <w:rFonts w:ascii="Times New Roman" w:hAnsi="Times New Roman" w:cs="Times New Roman" w:eastAsia="Times New Roman"/>
          <w:b w:val="0"/>
          <w:i w:val="0"/>
          <w:sz w:val="24"/>
        </w:rPr>
        <w:t xml:space="preserve">Rodés, V., y Motz, R. (2024). </w:t>
      </w:r>
      <w:r>
        <w:rPr>
          <w:rFonts w:ascii="Times New Roman" w:hAnsi="Times New Roman" w:cs="Times New Roman" w:eastAsia="Times New Roman"/>
          <w:b w:val="0"/>
          <w:i/>
          <w:sz w:val="24"/>
        </w:rPr>
        <w:t>Interdisciplinary center on open and accessible educational resources: 10 years building inclusive education in Uruguay and Latin America.</w:t>
      </w:r>
      <w:r>
        <w:rPr>
          <w:rFonts w:ascii="Times New Roman" w:hAnsi="Times New Roman" w:cs="Times New Roman" w:eastAsia="Times New Roman"/>
          <w:b w:val="0"/>
          <w:i w:val="0"/>
          <w:sz w:val="24"/>
        </w:rPr>
        <w:t xml:space="preserve"> Springer. https://doi.org/10.1007/978-981-19-6056-7_62</w:t>
      </w:r>
    </w:p>
    <w:p>
      <w:pPr>
        <w:spacing w:before="0" w:after="160" w:line="360" w:lineRule="auto"/>
        <w:ind w:left="720" w:hanging="720"/>
        <w:jc w:val="both"/>
      </w:pPr>
      <w:r>
        <w:rPr>
          <w:rFonts w:ascii="Times New Roman" w:hAnsi="Times New Roman" w:cs="Times New Roman" w:eastAsia="Times New Roman"/>
          <w:b w:val="0"/>
          <w:i w:val="0"/>
          <w:sz w:val="24"/>
        </w:rPr>
        <w:t xml:space="preserve">Ruiz-Ruiz, M. F., Fernández-Peñuelas, I., Paucar-Lecaros, B. L., y Sallandt, U. (2025). Charla futurista con Inteligencia Artificial: Explorando su impacto en la Educación Superior de América Latina. </w:t>
      </w:r>
      <w:r>
        <w:rPr>
          <w:rFonts w:ascii="Times New Roman" w:hAnsi="Times New Roman" w:cs="Times New Roman" w:eastAsia="Times New Roman"/>
          <w:b w:val="0"/>
          <w:i/>
          <w:sz w:val="24"/>
        </w:rPr>
        <w:t>Revista de Ciencias Sociales, 31</w:t>
      </w:r>
      <w:r>
        <w:rPr>
          <w:rFonts w:ascii="Times New Roman" w:hAnsi="Times New Roman" w:cs="Times New Roman" w:eastAsia="Times New Roman"/>
          <w:b w:val="0"/>
          <w:i w:val="0"/>
          <w:sz w:val="24"/>
        </w:rPr>
        <w:t xml:space="preserve"> (2), 400-420. https://doi.org/10.31876/rcs.v31i2.43775</w:t>
      </w:r>
    </w:p>
    <w:p>
      <w:pPr>
        <w:spacing w:before="0" w:after="160" w:line="360" w:lineRule="auto"/>
        <w:ind w:left="720" w:hanging="720"/>
        <w:jc w:val="both"/>
      </w:pPr>
      <w:r>
        <w:rPr>
          <w:rFonts w:ascii="Times New Roman" w:hAnsi="Times New Roman" w:cs="Times New Roman" w:eastAsia="Times New Roman"/>
          <w:b w:val="0"/>
          <w:i w:val="0"/>
          <w:sz w:val="24"/>
        </w:rPr>
        <w:t xml:space="preserve">Sen, A. (1999). </w:t>
      </w:r>
      <w:r>
        <w:rPr>
          <w:rFonts w:ascii="Times New Roman" w:hAnsi="Times New Roman" w:cs="Times New Roman" w:eastAsia="Times New Roman"/>
          <w:b w:val="0"/>
          <w:i/>
          <w:sz w:val="24"/>
        </w:rPr>
        <w:t>Development as freedom</w:t>
      </w:r>
      <w:r>
        <w:rPr>
          <w:rFonts w:ascii="Times New Roman" w:hAnsi="Times New Roman" w:cs="Times New Roman" w:eastAsia="Times New Roman"/>
          <w:b w:val="0"/>
          <w:i w:val="0"/>
          <w:sz w:val="24"/>
        </w:rPr>
        <w:t>. Oxford University Press.</w:t>
      </w:r>
    </w:p>
    <w:p>
      <w:pPr>
        <w:spacing w:before="0" w:after="160" w:line="360" w:lineRule="auto"/>
        <w:ind w:left="720" w:hanging="720"/>
        <w:jc w:val="both"/>
      </w:pPr>
      <w:r>
        <w:rPr>
          <w:rFonts w:ascii="Times New Roman" w:hAnsi="Times New Roman" w:cs="Times New Roman" w:eastAsia="Times New Roman"/>
          <w:b w:val="0"/>
          <w:i w:val="0"/>
          <w:sz w:val="24"/>
        </w:rPr>
        <w:t xml:space="preserve">Silva-Atencio, G., y Umana-Ramírez, M. (2024). ChatGPT in education: Does it improve learning or affect educational quality? </w:t>
      </w:r>
      <w:r>
        <w:rPr>
          <w:rFonts w:ascii="Times New Roman" w:hAnsi="Times New Roman" w:cs="Times New Roman" w:eastAsia="Times New Roman"/>
          <w:b w:val="0"/>
          <w:i/>
          <w:sz w:val="24"/>
        </w:rPr>
        <w:t>Proceedings of the LACCEI International Multi-Conference for Engineering, Education, and Technology</w:t>
      </w:r>
      <w:r>
        <w:rPr>
          <w:rFonts w:ascii="Times New Roman" w:hAnsi="Times New Roman" w:cs="Times New Roman" w:eastAsia="Times New Roman"/>
          <w:b w:val="0"/>
          <w:i w:val="0"/>
          <w:sz w:val="24"/>
        </w:rPr>
        <w:t>, Article 621. https://doi.org/10.18687/LEIRD2024.1.1.621</w:t>
      </w:r>
    </w:p>
    <w:p>
      <w:pPr>
        <w:spacing w:before="0" w:after="160" w:line="360" w:lineRule="auto"/>
        <w:ind w:left="720" w:hanging="720"/>
        <w:jc w:val="both"/>
      </w:pPr>
      <w:r>
        <w:rPr>
          <w:rFonts w:ascii="Times New Roman" w:hAnsi="Times New Roman" w:cs="Times New Roman" w:eastAsia="Times New Roman"/>
          <w:b w:val="0"/>
          <w:i w:val="0"/>
          <w:sz w:val="24"/>
        </w:rPr>
        <w:t xml:space="preserve">Taylor, L. (2017). What is data justice? The case for connecting digital rights and freedoms globally. B </w:t>
      </w:r>
      <w:r>
        <w:rPr>
          <w:rFonts w:ascii="Times New Roman" w:hAnsi="Times New Roman" w:cs="Times New Roman" w:eastAsia="Times New Roman"/>
          <w:b w:val="0"/>
          <w:i/>
          <w:sz w:val="24"/>
        </w:rPr>
        <w:t>ig Data &amp; Society, 4</w:t>
      </w:r>
      <w:r>
        <w:rPr>
          <w:rFonts w:ascii="Times New Roman" w:hAnsi="Times New Roman" w:cs="Times New Roman" w:eastAsia="Times New Roman"/>
          <w:b w:val="0"/>
          <w:i w:val="0"/>
          <w:sz w:val="24"/>
        </w:rPr>
        <w:t xml:space="preserve"> (2), 1-14. https://doi.org/10.1177/2053951717736335</w:t>
      </w:r>
    </w:p>
    <w:p>
      <w:pPr>
        <w:spacing w:before="0" w:after="160" w:line="360" w:lineRule="auto"/>
        <w:ind w:left="720" w:hanging="720"/>
        <w:jc w:val="both"/>
      </w:pPr>
      <w:r>
        <w:rPr>
          <w:rFonts w:ascii="Times New Roman" w:hAnsi="Times New Roman" w:cs="Times New Roman" w:eastAsia="Times New Roman"/>
          <w:b w:val="0"/>
          <w:i w:val="0"/>
          <w:sz w:val="24"/>
        </w:rPr>
        <w:t xml:space="preserve">Tomasevski, K. (2006). </w:t>
      </w:r>
      <w:r>
        <w:rPr>
          <w:rFonts w:ascii="Times New Roman" w:hAnsi="Times New Roman" w:cs="Times New Roman" w:eastAsia="Times New Roman"/>
          <w:b w:val="0"/>
          <w:i/>
          <w:sz w:val="24"/>
        </w:rPr>
        <w:t>The state of the right to education worldwide: Free or fee, 2006 global report.</w:t>
      </w:r>
      <w:r>
        <w:rPr>
          <w:rFonts w:ascii="Times New Roman" w:hAnsi="Times New Roman" w:cs="Times New Roman" w:eastAsia="Times New Roman"/>
          <w:b w:val="0"/>
          <w:i w:val="0"/>
          <w:sz w:val="24"/>
        </w:rPr>
        <w:t xml:space="preserve"> Author.</w:t>
      </w:r>
    </w:p>
    <w:p>
      <w:pPr>
        <w:spacing w:before="0" w:after="160" w:line="360" w:lineRule="auto"/>
        <w:ind w:left="720" w:hanging="720"/>
        <w:jc w:val="both"/>
      </w:pPr>
      <w:r>
        <w:rPr>
          <w:rFonts w:ascii="Times New Roman" w:hAnsi="Times New Roman" w:cs="Times New Roman" w:eastAsia="Times New Roman"/>
          <w:b w:val="0"/>
          <w:i w:val="0"/>
          <w:sz w:val="24"/>
        </w:rPr>
        <w:t xml:space="preserve">UNESCO (2023). </w:t>
      </w:r>
      <w:r>
        <w:rPr>
          <w:rFonts w:ascii="Times New Roman" w:hAnsi="Times New Roman" w:cs="Times New Roman" w:eastAsia="Times New Roman"/>
          <w:b w:val="0"/>
          <w:i/>
          <w:sz w:val="24"/>
        </w:rPr>
        <w:t>Global Education Monitoring Report 2023: Technology in education - A tool on whose terms?</w:t>
      </w:r>
      <w:r>
        <w:rPr>
          <w:rFonts w:ascii="Times New Roman" w:hAnsi="Times New Roman" w:cs="Times New Roman" w:eastAsia="Times New Roman"/>
          <w:b w:val="0"/>
          <w:i w:val="0"/>
          <w:sz w:val="24"/>
        </w:rPr>
        <w:t xml:space="preserve"> UNESCO Publishing. https://doi.org/10.54676/UZQV8501</w:t>
      </w:r>
    </w:p>
    <w:p>
      <w:pPr>
        <w:spacing w:before="0" w:after="160" w:line="360" w:lineRule="auto"/>
        <w:ind w:left="720" w:hanging="720"/>
        <w:jc w:val="both"/>
      </w:pPr>
      <w:r>
        <w:rPr>
          <w:rFonts w:ascii="Times New Roman" w:hAnsi="Times New Roman" w:cs="Times New Roman" w:eastAsia="Times New Roman"/>
          <w:b w:val="0"/>
          <w:i w:val="0"/>
          <w:sz w:val="24"/>
        </w:rPr>
        <w:t xml:space="preserve">Vargas, J. B., Nolasco-Mamani, M. A., Velásquez, N. C., Gambetta, R. L., Martínez-Valdivia, A. N., y Espinoza-Vidaurre, S. M. (2025). Relative Advantage and Compatibility as Drivers of ChatGPT Adoption in Latin American Higher Education: A PLS SEM Study Towards Sustainable Digital Education. </w:t>
      </w:r>
      <w:r>
        <w:rPr>
          <w:rFonts w:ascii="Times New Roman" w:hAnsi="Times New Roman" w:cs="Times New Roman" w:eastAsia="Times New Roman"/>
          <w:b w:val="0"/>
          <w:i/>
          <w:sz w:val="24"/>
        </w:rPr>
        <w:t>Sustainability, 17</w:t>
      </w:r>
      <w:r>
        <w:rPr>
          <w:rFonts w:ascii="Times New Roman" w:hAnsi="Times New Roman" w:cs="Times New Roman" w:eastAsia="Times New Roman"/>
          <w:b w:val="0"/>
          <w:i w:val="0"/>
          <w:sz w:val="24"/>
        </w:rPr>
        <w:t xml:space="preserve"> (18), Article 8329. https://doi.org/10.3390/su17188329</w:t>
      </w:r>
    </w:p>
    <w:p>
      <w:pPr>
        <w:spacing w:before="0" w:after="160" w:line="360" w:lineRule="auto"/>
        <w:ind w:left="720" w:hanging="720"/>
        <w:jc w:val="both"/>
      </w:pPr>
      <w:r>
        <w:rPr>
          <w:rFonts w:ascii="Times New Roman" w:hAnsi="Times New Roman" w:cs="Times New Roman" w:eastAsia="Times New Roman"/>
          <w:b w:val="0"/>
          <w:i w:val="0"/>
          <w:sz w:val="24"/>
        </w:rPr>
        <w:t xml:space="preserve">Velázquez, R. M., Vega, J. O., Guerrero, K. G., de la Peña, G., Murillo-Mora, M. K., Linzan, M. F., y Vásquez, Y. A. (2025). Del Ecosistema Digital a la Inteligencia Artificial Crítica. </w:t>
      </w:r>
      <w:r>
        <w:rPr>
          <w:rFonts w:ascii="Times New Roman" w:hAnsi="Times New Roman" w:cs="Times New Roman" w:eastAsia="Times New Roman"/>
          <w:b w:val="0"/>
          <w:i/>
          <w:sz w:val="24"/>
        </w:rPr>
        <w:t>Seminars in Medical Writing and Education, 4,</w:t>
      </w:r>
      <w:r>
        <w:rPr>
          <w:rFonts w:ascii="Times New Roman" w:hAnsi="Times New Roman" w:cs="Times New Roman" w:eastAsia="Times New Roman"/>
          <w:b w:val="0"/>
          <w:i w:val="0"/>
          <w:sz w:val="24"/>
        </w:rPr>
        <w:t xml:space="preserve"> Article 737. https://doi.org/10.56294/mw2025737</w:t>
      </w:r>
    </w:p>
    <w:p>
      <w:pPr>
        <w:spacing w:before="0" w:after="160" w:line="360" w:lineRule="auto"/>
        <w:ind w:left="720" w:hanging="720"/>
        <w:jc w:val="both"/>
      </w:pPr>
      <w:r>
        <w:rPr>
          <w:rFonts w:ascii="Times New Roman" w:hAnsi="Times New Roman" w:cs="Times New Roman" w:eastAsia="Times New Roman"/>
          <w:b w:val="0"/>
          <w:i w:val="0"/>
          <w:sz w:val="24"/>
        </w:rPr>
        <w:t xml:space="preserve">Vite-León, V. O., Poggi-Parodi, C., y Lopera-Moreno, J. (2024). Young People and Social Representations on Artificial Intelligence in Peru and Colombia. </w:t>
      </w:r>
      <w:r>
        <w:rPr>
          <w:rFonts w:ascii="Times New Roman" w:hAnsi="Times New Roman" w:cs="Times New Roman" w:eastAsia="Times New Roman"/>
          <w:b w:val="0"/>
          <w:i/>
          <w:sz w:val="24"/>
        </w:rPr>
        <w:t>Smart Innovation, Systems and Technologies, 375,</w:t>
      </w:r>
      <w:r>
        <w:rPr>
          <w:rFonts w:ascii="Times New Roman" w:hAnsi="Times New Roman" w:cs="Times New Roman" w:eastAsia="Times New Roman"/>
          <w:b w:val="0"/>
          <w:i w:val="0"/>
          <w:sz w:val="24"/>
        </w:rPr>
        <w:t xml:space="preserve"> 247-256. https://doi.org/10.1007/978-981-99-7210-4_23</w:t>
      </w:r>
    </w:p>
    <w:p>
      <w:pPr>
        <w:spacing w:before="0" w:after="160" w:line="360" w:lineRule="auto"/>
        <w:ind w:left="720" w:hanging="720"/>
        <w:jc w:val="both"/>
      </w:pPr>
      <w:r>
        <w:rPr>
          <w:rFonts w:ascii="Times New Roman" w:hAnsi="Times New Roman" w:cs="Times New Roman" w:eastAsia="Times New Roman"/>
          <w:b w:val="0"/>
          <w:i w:val="0"/>
          <w:sz w:val="24"/>
        </w:rPr>
        <w:t xml:space="preserve">Walsh, C. (2009). </w:t>
      </w:r>
      <w:r>
        <w:rPr>
          <w:rFonts w:ascii="Times New Roman" w:hAnsi="Times New Roman" w:cs="Times New Roman" w:eastAsia="Times New Roman"/>
          <w:b w:val="0"/>
          <w:i/>
          <w:sz w:val="24"/>
        </w:rPr>
        <w:t>Interculturalidad, Estado, Sociedad: Luchas (de)coloniales de nuestra época</w:t>
      </w:r>
      <w:r>
        <w:rPr>
          <w:rFonts w:ascii="Times New Roman" w:hAnsi="Times New Roman" w:cs="Times New Roman" w:eastAsia="Times New Roman"/>
          <w:b w:val="0"/>
          <w:i w:val="0"/>
          <w:sz w:val="24"/>
        </w:rPr>
        <w:t>. Universidad Andina Simón Bolívar.</w:t>
      </w:r>
    </w:p>
    <w:p>
      <w:pPr>
        <w:spacing w:before="0" w:after="160" w:line="360" w:lineRule="auto"/>
        <w:ind w:left="720" w:hanging="720"/>
        <w:jc w:val="both"/>
      </w:pPr>
      <w:r>
        <w:rPr>
          <w:rFonts w:ascii="Times New Roman" w:hAnsi="Times New Roman" w:cs="Times New Roman" w:eastAsia="Times New Roman"/>
          <w:b w:val="0"/>
          <w:i w:val="0"/>
          <w:sz w:val="24"/>
        </w:rPr>
        <w:t xml:space="preserve">Williamson, B. (2017). </w:t>
      </w:r>
      <w:r>
        <w:rPr>
          <w:rFonts w:ascii="Times New Roman" w:hAnsi="Times New Roman" w:cs="Times New Roman" w:eastAsia="Times New Roman"/>
          <w:b w:val="0"/>
          <w:i/>
          <w:sz w:val="24"/>
        </w:rPr>
        <w:t>Big data in education: The digital future of learning, policy and practice.</w:t>
      </w:r>
      <w:r>
        <w:rPr>
          <w:rFonts w:ascii="Times New Roman" w:hAnsi="Times New Roman" w:cs="Times New Roman" w:eastAsia="Times New Roman"/>
          <w:b w:val="0"/>
          <w:i w:val="0"/>
          <w:sz w:val="24"/>
        </w:rPr>
        <w:t xml:space="preserve"> SAGE Publications. https://doi.org/10.4135/9781529714920</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Times New Roman" w:cs="Times New Roman" w:eastAsia="Times New Roman" w:hAnsi="Times New Roman"/>
        <w:caps/>
        <w:sz w:val="20"/>
        <w:szCs w:val="20"/>
      </w:rPr>
      <w:t xml:space="preserve">INTELIGENCIA ARTIFICIAL EN LA EDUCACIÓN LATINOAMERICANA</w:t>
    </w:r>
    <w:r>
      <w:tab/>
    </w:r>
    <w:r>
      <w:rPr>
        <w:rFonts w:ascii="Times New Roman" w:cs="Times New Roman" w:eastAsia="Times New Roman" w:hAnsi="Times New Roman"/>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2026-04-06T16:07:27.750Z</dcterms:created>
  <dcterms:modified xsi:type="dcterms:W3CDTF">2026-04-06T16:07:27.752Z</dcterms:modified>
</cp:coreProperties>
</file>

<file path=docProps/custom.xml><?xml version="1.0" encoding="utf-8"?>
<Properties xmlns="http://schemas.openxmlformats.org/officeDocument/2006/custom-properties" xmlns:vt="http://schemas.openxmlformats.org/officeDocument/2006/docPropsVTypes"/>
</file>