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¿Por qué España es un objetivo cibernético?</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Antonio Legaz</w:t>
      </w:r>
    </w:p>
    <w:p>
      <w:pPr>
        <w:spacing w:before="0" w:after="160" w:line="360" w:lineRule="auto"/>
        <w:jc w:val="center"/>
      </w:pPr>
      <w:r>
        <w:rPr>
          <w:rFonts w:ascii="Times New Roman" w:hAnsi="Times New Roman" w:cs="Times New Roman" w:eastAsia="Times New Roman"/>
          <w:b w:val="0"/>
          <w:i w:val="0"/>
          <w:sz w:val="24"/>
        </w:rPr>
        <w:t>Agenda Pública</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del autor</w:t>
      </w:r>
    </w:p>
    <w:p>
      <w:pPr>
        <w:spacing w:before="0" w:after="160" w:line="360" w:lineRule="auto"/>
        <w:jc w:val="center"/>
      </w:pPr>
      <w:r>
        <w:rPr>
          <w:rFonts w:ascii="Times New Roman" w:hAnsi="Times New Roman" w:cs="Times New Roman" w:eastAsia="Times New Roman"/>
          <w:b w:val="0"/>
          <w:i w:val="0"/>
          <w:sz w:val="24"/>
        </w:rPr>
        <w:t>Antonio Legaz: Analista de defensa e inteligencia en una empresa del sector de la defensa</w:t>
      </w:r>
    </w:p>
    <w:p>
      <w:pPr>
        <w:spacing w:before="0" w:after="160" w:line="360" w:lineRule="auto"/>
        <w:jc w:val="center"/>
      </w:pPr>
      <w:r>
        <w:rPr>
          <w:rFonts w:ascii="Times New Roman" w:hAnsi="Times New Roman" w:cs="Times New Roman" w:eastAsia="Times New Roman"/>
          <w:b w:val="0"/>
          <w:i w:val="0"/>
          <w:sz w:val="24"/>
        </w:rPr>
        <w:t>Columna de opinión publicada en Agenda Pública, 17 de diciembre de 2025.</w:t>
      </w:r>
    </w:p>
    <w:p>
      <w:pPr>
        <w:pageBreakBefore/>
        <w:spacing w:after="0"/>
      </w:pPr>
    </w:p>
    <w:p>
      <w:pPr>
        <w:spacing w:before="480" w:after="160" w:line="360" w:lineRule="auto"/>
        <w:jc w:val="center"/>
      </w:pPr>
      <w:r>
        <w:rPr>
          <w:rFonts w:ascii="Times New Roman" w:hAnsi="Times New Roman" w:cs="Times New Roman" w:eastAsia="Times New Roman"/>
          <w:b/>
          <w:i w:val="0"/>
          <w:sz w:val="24"/>
        </w:rPr>
        <w:t>Resumen</w:t>
      </w:r>
    </w:p>
    <w:p>
      <w:pPr>
        <w:spacing w:before="0" w:after="160" w:line="360" w:lineRule="auto"/>
        <w:jc w:val="both"/>
      </w:pPr>
      <w:r>
        <w:rPr>
          <w:rFonts w:ascii="Times New Roman" w:hAnsi="Times New Roman" w:cs="Times New Roman" w:eastAsia="Times New Roman"/>
          <w:b w:val="0"/>
          <w:i w:val="0"/>
          <w:sz w:val="24"/>
        </w:rPr>
        <w:t>La pregunta ya no es si España será objetivo de una ofensiva híbrida, sino cuándo se hará evidente. La combinación de ciberataques latentes, desinformación y dependencia de infraestructuras críticas dibuja un escenario de riesgo sistémico. "La amenaza no busca colapsar el país, sino condicionarlo. El peligro es el ciberataque que no imaginamos", sostiene Antonio Legaz, experto en seguridad e inteligencia.</w:t>
      </w:r>
    </w:p>
    <w:p>
      <w:pPr>
        <w:pageBreakBefore/>
        <w:spacing w:after="0"/>
      </w:pPr>
    </w:p>
    <w:p>
      <w:pPr>
        <w:spacing w:before="480" w:after="160" w:line="360" w:lineRule="auto"/>
        <w:jc w:val="center"/>
      </w:pPr>
      <w:r>
        <w:rPr>
          <w:rFonts w:ascii="Times New Roman" w:hAnsi="Times New Roman" w:cs="Times New Roman" w:eastAsia="Times New Roman"/>
          <w:b/>
          <w:i w:val="0"/>
          <w:sz w:val="24"/>
        </w:rPr>
        <w:t>¿Por qué España es un objetivo cibernético?</w:t>
      </w:r>
    </w:p>
    <w:p>
      <w:pPr>
        <w:spacing w:before="0" w:after="160" w:line="360" w:lineRule="auto"/>
        <w:ind w:firstLine="720"/>
        <w:jc w:val="both"/>
      </w:pPr>
      <w:r>
        <w:rPr>
          <w:rFonts w:ascii="Times New Roman" w:hAnsi="Times New Roman" w:cs="Times New Roman" w:eastAsia="Times New Roman"/>
          <w:b w:val="0"/>
          <w:i w:val="0"/>
          <w:sz w:val="24"/>
        </w:rPr>
        <w:t xml:space="preserve">Alemania acaba de dar un paso sin precedentes. El 12 de diciembre de 2025, </w:t>
      </w:r>
      <w:r>
        <w:rPr>
          <w:rFonts w:ascii="Times New Roman" w:hAnsi="Times New Roman" w:cs="Times New Roman" w:eastAsia="Times New Roman"/>
          <w:b/>
          <w:i w:val="0"/>
          <w:sz w:val="24"/>
        </w:rPr>
        <w:t>el Gobierno alemán convocó formalmente al embajador ruso en Berlín</w:t>
      </w:r>
      <w:r>
        <w:rPr>
          <w:rFonts w:ascii="Times New Roman" w:hAnsi="Times New Roman" w:cs="Times New Roman" w:eastAsia="Times New Roman"/>
          <w:b w:val="0"/>
          <w:i w:val="0"/>
          <w:sz w:val="24"/>
        </w:rPr>
        <w:t xml:space="preserve"> tras atribuir al grupo APT28 (conocido como Fancy Bear, vinculado al GRU ruso) un ciberataque contra el sistema de control del tráfico aéreo en agosto de 2024. Simultáneamente, </w:t>
      </w:r>
      <w:r>
        <w:rPr>
          <w:rFonts w:ascii="Times New Roman" w:hAnsi="Times New Roman" w:cs="Times New Roman" w:eastAsia="Times New Roman"/>
          <w:b/>
          <w:i w:val="0"/>
          <w:sz w:val="24"/>
        </w:rPr>
        <w:t xml:space="preserve">acusó a Moscú de desplegar </w:t>
      </w:r>
      <w:hyperlink r:id="rId9">
        <w:r>
          <w:rPr>
            <w:rFonts w:ascii="Times New Roman" w:hAnsi="Times New Roman" w:cs="Times New Roman" w:eastAsia="Times New Roman"/>
            <w:b/>
            <w:color w:val="0563C1"/>
            <w:u w:val="single"/>
            <w:sz w:val="24"/>
          </w:rPr>
          <w:t xml:space="preserve">la campaña de desinformación</w:t>
        </w:r>
      </w:hyperlink>
      <w:r>
        <w:rPr>
          <w:rFonts w:ascii="Times New Roman" w:hAnsi="Times New Roman" w:cs="Times New Roman" w:eastAsia="Times New Roman"/>
          <w:b/>
          <w:i w:val="0"/>
          <w:sz w:val="24"/>
        </w:rPr>
        <w:t xml:space="preserve"> "Storm-1516"</w:t>
      </w:r>
      <w:r>
        <w:rPr>
          <w:rFonts w:ascii="Times New Roman" w:hAnsi="Times New Roman" w:cs="Times New Roman" w:eastAsia="Times New Roman"/>
          <w:b w:val="0"/>
          <w:i w:val="0"/>
          <w:sz w:val="24"/>
        </w:rPr>
        <w:t xml:space="preserve"> para desestabilizar las elecciones federales alemanas mediante </w:t>
      </w:r>
      <w:r>
        <w:rPr>
          <w:rFonts w:ascii="Times New Roman" w:hAnsi="Times New Roman" w:cs="Times New Roman" w:eastAsia="Times New Roman"/>
          <w:b w:val="0"/>
          <w:i/>
          <w:sz w:val="24"/>
        </w:rPr>
        <w:t>deepfakes</w:t>
      </w:r>
      <w:r>
        <w:rPr>
          <w:rFonts w:ascii="Times New Roman" w:hAnsi="Times New Roman" w:cs="Times New Roman" w:eastAsia="Times New Roman"/>
          <w:b w:val="0"/>
          <w:i w:val="0"/>
          <w:sz w:val="24"/>
        </w:rPr>
        <w:t xml:space="preserve">, vídeos manipulados y webs pseudoperiodísticas. Berlín no solo identificó la firma de Moscú, sino que anunció contramedidas y sanciones individuales. Este episodio ilustra una realidad que España aún no ha asumido públicamente: </w:t>
      </w:r>
      <w:hyperlink r:id="rId10">
        <w:r>
          <w:rPr>
            <w:rFonts w:ascii="Times New Roman" w:hAnsi="Times New Roman" w:cs="Times New Roman" w:eastAsia="Times New Roman"/>
            <w:color w:val="0563C1"/>
            <w:u w:val="single"/>
            <w:sz w:val="24"/>
          </w:rPr>
          <w:t xml:space="preserve">la guerra híbrida</w:t>
        </w:r>
      </w:hyperlink>
      <w:r>
        <w:rPr>
          <w:rFonts w:ascii="Times New Roman" w:hAnsi="Times New Roman" w:cs="Times New Roman" w:eastAsia="Times New Roman"/>
          <w:b w:val="0"/>
          <w:i w:val="0"/>
          <w:sz w:val="24"/>
        </w:rPr>
        <w:t xml:space="preserve"> ya no es escenario futuro, es un presente operativo.</w:t>
      </w:r>
    </w:p>
    <w:p>
      <w:pPr>
        <w:spacing w:before="0" w:after="160" w:line="360" w:lineRule="auto"/>
        <w:ind w:firstLine="720"/>
        <w:jc w:val="both"/>
      </w:pPr>
      <w:r>
        <w:rPr>
          <w:rFonts w:ascii="Times New Roman" w:hAnsi="Times New Roman" w:cs="Times New Roman" w:eastAsia="Times New Roman"/>
          <w:b w:val="0"/>
          <w:i w:val="0"/>
          <w:sz w:val="24"/>
        </w:rPr>
        <w:t xml:space="preserve">España es simultáneamente más valiosa como objetivo y más vulnerable de lo que el debate público reconoce. Mientras </w:t>
      </w:r>
      <w:hyperlink r:id="rId11">
        <w:r>
          <w:rPr>
            <w:rFonts w:ascii="Times New Roman" w:hAnsi="Times New Roman" w:cs="Times New Roman" w:eastAsia="Times New Roman"/>
            <w:color w:val="0563C1"/>
            <w:u w:val="single"/>
            <w:sz w:val="24"/>
          </w:rPr>
          <w:t xml:space="preserve">las inversiones en defensa se disparan</w:t>
        </w:r>
      </w:hyperlink>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la pregunta no es si España enfrenta amenazas similares a las de Alemania, sino cuándo se harán visibles.</w:t>
      </w:r>
    </w:p>
    <w:p>
      <w:pPr>
        <w:spacing w:before="0" w:after="160" w:line="360" w:lineRule="auto"/>
        <w:ind w:firstLine="720"/>
        <w:jc w:val="both"/>
      </w:pPr>
      <w:r>
        <w:rPr>
          <w:rFonts w:ascii="Times New Roman" w:hAnsi="Times New Roman" w:cs="Times New Roman" w:eastAsia="Times New Roman"/>
          <w:b w:val="0"/>
          <w:i w:val="0"/>
          <w:sz w:val="24"/>
        </w:rPr>
        <w:t xml:space="preserve">"España sueña si cree que </w:t>
      </w:r>
      <w:hyperlink r:id="rId12">
        <w:r>
          <w:rPr>
            <w:rFonts w:ascii="Times New Roman" w:hAnsi="Times New Roman" w:cs="Times New Roman" w:eastAsia="Times New Roman"/>
            <w:color w:val="0563C1"/>
            <w:u w:val="single"/>
            <w:sz w:val="24"/>
          </w:rPr>
          <w:t xml:space="preserve">los equipos de Huawei de la Guardia Civil</w:t>
        </w:r>
      </w:hyperlink>
      <w:r>
        <w:rPr>
          <w:rFonts w:ascii="Times New Roman" w:hAnsi="Times New Roman" w:cs="Times New Roman" w:eastAsia="Times New Roman"/>
          <w:b w:val="0"/>
          <w:i w:val="0"/>
          <w:sz w:val="24"/>
        </w:rPr>
        <w:t xml:space="preserve"> no pasan información a China", advirtió hace apenas dos días el almirante Rob Bauer, ex jefe militar de la OTAN, en una entrevista. </w:t>
      </w:r>
      <w:r>
        <w:rPr>
          <w:rFonts w:ascii="Times New Roman" w:hAnsi="Times New Roman" w:cs="Times New Roman" w:eastAsia="Times New Roman"/>
          <w:b/>
          <w:i w:val="0"/>
          <w:sz w:val="24"/>
        </w:rPr>
        <w:t>Su declaración fue un diagnóstico de una vulnerabilidad que España lleva años cultivando sin darse cuenta.</w:t>
      </w:r>
    </w:p>
    <w:p>
      <w:pPr>
        <w:spacing w:before="0" w:after="160" w:line="360" w:lineRule="auto"/>
        <w:ind w:firstLine="720"/>
        <w:jc w:val="both"/>
      </w:pPr>
      <w:r>
        <w:rPr>
          <w:rFonts w:ascii="Times New Roman" w:hAnsi="Times New Roman" w:cs="Times New Roman" w:eastAsia="Times New Roman"/>
          <w:b/>
          <w:i w:val="0"/>
          <w:sz w:val="24"/>
        </w:rPr>
        <w:t>Las cifras oficiales pintan un cuadro alarmante</w:t>
      </w:r>
      <w:r>
        <w:rPr>
          <w:rFonts w:ascii="Times New Roman" w:hAnsi="Times New Roman" w:cs="Times New Roman" w:eastAsia="Times New Roman"/>
          <w:b w:val="0"/>
          <w:i w:val="0"/>
          <w:sz w:val="24"/>
        </w:rPr>
        <w:t xml:space="preserve"> pero incompleto. El presidente Pedro Sánchez reconoció en abril que "España sufre más de 100.000 ciberataques al año y uno de cada tres es considerado muy grave". El ministro para la Transformación Digital, Óscar López, añadió que desde 2015 los ciberataques han aumentado un 300%. Sin embargo, estas cifras brutas requieren matización. </w:t>
      </w:r>
      <w:r>
        <w:rPr>
          <w:rFonts w:ascii="Times New Roman" w:hAnsi="Times New Roman" w:cs="Times New Roman" w:eastAsia="Times New Roman"/>
          <w:b/>
          <w:i w:val="0"/>
          <w:sz w:val="24"/>
        </w:rPr>
        <w:t>Muchos ataques son simples escaneos automatizados de puertos sin intención maliciosa real</w:t>
      </w:r>
      <w:r>
        <w:rPr>
          <w:rFonts w:ascii="Times New Roman" w:hAnsi="Times New Roman" w:cs="Times New Roman" w:eastAsia="Times New Roman"/>
          <w:b w:val="0"/>
          <w:i w:val="0"/>
          <w:sz w:val="24"/>
        </w:rPr>
        <w:t xml:space="preserve">. Los ciberataques verdaderamente complejos y críticos contra infraestructuras españolas rondan los cinco anuales en años especialmente activos. Pero estos números ocultan una realidad más inquietante: </w:t>
      </w:r>
      <w:r>
        <w:rPr>
          <w:rFonts w:ascii="Times New Roman" w:hAnsi="Times New Roman" w:cs="Times New Roman" w:eastAsia="Times New Roman"/>
          <w:b/>
          <w:i w:val="0"/>
          <w:sz w:val="24"/>
        </w:rPr>
        <w:t>los ataques que España teme no son los que pueden paralizarla</w:t>
      </w:r>
      <w:r>
        <w:rPr>
          <w:rFonts w:ascii="Times New Roman" w:hAnsi="Times New Roman" w:cs="Times New Roman" w:eastAsia="Times New Roman"/>
          <w:b w:val="0"/>
          <w:i w:val="0"/>
          <w:sz w:val="24"/>
        </w:rPr>
        <w:t>. La verdadera amenaza es silenciosa, persistente y podría estar presente en sistemas críticos españoles.</w:t>
      </w:r>
    </w:p>
    <w:p>
      <w:pPr>
        <w:keepNext/>
        <w:spacing w:before="480" w:after="160" w:line="360" w:lineRule="auto"/>
        <w:jc w:val="center"/>
      </w:pPr>
      <w:r>
        <w:rPr>
          <w:rFonts w:ascii="Times New Roman" w:hAnsi="Times New Roman" w:cs="Times New Roman" w:eastAsia="Times New Roman"/>
          <w:b/>
          <w:i w:val="0"/>
          <w:sz w:val="24"/>
        </w:rPr>
        <w:t>La nueva doctrina del ciberataque</w:t>
      </w:r>
    </w:p>
    <w:p>
      <w:pPr>
        <w:spacing w:before="0" w:after="160" w:line="360" w:lineRule="auto"/>
        <w:ind w:firstLine="720"/>
        <w:jc w:val="both"/>
      </w:pPr>
      <w:r>
        <w:rPr>
          <w:rFonts w:ascii="Times New Roman" w:hAnsi="Times New Roman" w:cs="Times New Roman" w:eastAsia="Times New Roman"/>
          <w:b w:val="0"/>
          <w:i w:val="0"/>
          <w:sz w:val="24"/>
        </w:rPr>
        <w:t xml:space="preserve">Imagine que </w:t>
      </w:r>
      <w:r>
        <w:rPr>
          <w:rFonts w:ascii="Times New Roman" w:hAnsi="Times New Roman" w:cs="Times New Roman" w:eastAsia="Times New Roman"/>
          <w:b/>
          <w:i w:val="0"/>
          <w:sz w:val="24"/>
        </w:rPr>
        <w:t>un ladrón entra en su casa pero no roba nada</w:t>
      </w:r>
      <w:r>
        <w:rPr>
          <w:rFonts w:ascii="Times New Roman" w:hAnsi="Times New Roman" w:cs="Times New Roman" w:eastAsia="Times New Roman"/>
          <w:b w:val="0"/>
          <w:i w:val="0"/>
          <w:sz w:val="24"/>
        </w:rPr>
        <w:t xml:space="preserve">. En lugar de eso, </w:t>
      </w:r>
      <w:r>
        <w:rPr>
          <w:rFonts w:ascii="Times New Roman" w:hAnsi="Times New Roman" w:cs="Times New Roman" w:eastAsia="Times New Roman"/>
          <w:b/>
          <w:i w:val="0"/>
          <w:sz w:val="24"/>
        </w:rPr>
        <w:t>memoriza dónde están las llaves</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desactiva alarmas</w:t>
      </w:r>
      <w:r>
        <w:rPr>
          <w:rFonts w:ascii="Times New Roman" w:hAnsi="Times New Roman" w:cs="Times New Roman" w:eastAsia="Times New Roman"/>
          <w:b w:val="0"/>
          <w:i w:val="0"/>
          <w:sz w:val="24"/>
        </w:rPr>
        <w:t xml:space="preserve"> sin que usted se entere y deja la puerta trasera ligeramente entreabierta. Cuando regrese (quizás dentro de años) </w:t>
      </w:r>
      <w:r>
        <w:rPr>
          <w:rFonts w:ascii="Times New Roman" w:hAnsi="Times New Roman" w:cs="Times New Roman" w:eastAsia="Times New Roman"/>
          <w:b/>
          <w:i w:val="0"/>
          <w:sz w:val="24"/>
        </w:rPr>
        <w:t>podrá vaciar su hogar en minutos sin que nadie lo detecte</w:t>
      </w:r>
      <w:r>
        <w:rPr>
          <w:rFonts w:ascii="Times New Roman" w:hAnsi="Times New Roman" w:cs="Times New Roman" w:eastAsia="Times New Roman"/>
          <w:b w:val="0"/>
          <w:i w:val="0"/>
          <w:sz w:val="24"/>
        </w:rPr>
        <w:t>. Esta metáfora describe con exactitud lo que grupos como Volt Typhoon (vinculado a inteligencia china) están ejecutando en infraestructuras críticas occidentales.</w:t>
      </w:r>
    </w:p>
    <w:p>
      <w:pPr>
        <w:spacing w:before="0" w:after="160" w:line="360" w:lineRule="auto"/>
        <w:ind w:firstLine="720"/>
        <w:jc w:val="both"/>
      </w:pPr>
      <w:r>
        <w:rPr>
          <w:rFonts w:ascii="Times New Roman" w:hAnsi="Times New Roman" w:cs="Times New Roman" w:eastAsia="Times New Roman"/>
          <w:b w:val="0"/>
          <w:i w:val="0"/>
          <w:sz w:val="24"/>
        </w:rPr>
        <w:t xml:space="preserve">Volt Typhoon ha permanecido sin detectar en sistemas estadounidenses durante más de cinco años utilizando técnicas de living-off-the-land (LOTL): </w:t>
      </w:r>
      <w:r>
        <w:rPr>
          <w:rFonts w:ascii="Times New Roman" w:hAnsi="Times New Roman" w:cs="Times New Roman" w:eastAsia="Times New Roman"/>
          <w:b/>
          <w:i w:val="0"/>
          <w:sz w:val="24"/>
        </w:rPr>
        <w:t>explotan herramientas legítimas del sistema operativo</w:t>
      </w:r>
      <w:r>
        <w:rPr>
          <w:rFonts w:ascii="Times New Roman" w:hAnsi="Times New Roman" w:cs="Times New Roman" w:eastAsia="Times New Roman"/>
          <w:b w:val="0"/>
          <w:i w:val="0"/>
          <w:sz w:val="24"/>
        </w:rPr>
        <w:t xml:space="preserve"> (PowerShell, comandos administrativos) </w:t>
      </w:r>
      <w:r>
        <w:rPr>
          <w:rFonts w:ascii="Times New Roman" w:hAnsi="Times New Roman" w:cs="Times New Roman" w:eastAsia="Times New Roman"/>
          <w:b/>
          <w:i w:val="0"/>
          <w:sz w:val="24"/>
        </w:rPr>
        <w:t xml:space="preserve">en lugar de instalar </w:t>
      </w:r>
      <w:r>
        <w:rPr>
          <w:rFonts w:ascii="Times New Roman" w:hAnsi="Times New Roman" w:cs="Times New Roman" w:eastAsia="Times New Roman"/>
          <w:b/>
          <w:i/>
          <w:sz w:val="24"/>
        </w:rPr>
        <w:t>malware</w:t>
      </w:r>
      <w:r>
        <w:rPr>
          <w:rFonts w:ascii="Times New Roman" w:hAnsi="Times New Roman" w:cs="Times New Roman" w:eastAsia="Times New Roman"/>
          <w:b/>
          <w:i w:val="0"/>
          <w:sz w:val="24"/>
        </w:rPr>
        <w:t xml:space="preserve"> detectable</w:t>
      </w:r>
      <w:r>
        <w:rPr>
          <w:rFonts w:ascii="Times New Roman" w:hAnsi="Times New Roman" w:cs="Times New Roman" w:eastAsia="Times New Roman"/>
          <w:b w:val="0"/>
          <w:i w:val="0"/>
          <w:sz w:val="24"/>
        </w:rPr>
        <w:t xml:space="preserve">. Para España, esta táctica es especialmente letal: </w:t>
      </w:r>
      <w:r>
        <w:rPr>
          <w:rFonts w:ascii="Times New Roman" w:hAnsi="Times New Roman" w:cs="Times New Roman" w:eastAsia="Times New Roman"/>
          <w:b/>
          <w:i w:val="0"/>
          <w:sz w:val="24"/>
        </w:rPr>
        <w:t>el 40% de las organizaciones portuarias y marítimas españolas no invierte suficientemente en detección comportamental avanzada</w:t>
      </w:r>
      <w:r>
        <w:rPr>
          <w:rFonts w:ascii="Times New Roman" w:hAnsi="Times New Roman" w:cs="Times New Roman" w:eastAsia="Times New Roman"/>
          <w:b w:val="0"/>
          <w:i w:val="0"/>
          <w:sz w:val="24"/>
        </w:rPr>
        <w:t xml:space="preserve">, confiando exclusivamente en antivirus tradicionales que buscan firmas de </w:t>
      </w:r>
      <w:r>
        <w:rPr>
          <w:rFonts w:ascii="Times New Roman" w:hAnsi="Times New Roman" w:cs="Times New Roman" w:eastAsia="Times New Roman"/>
          <w:b w:val="0"/>
          <w:i/>
          <w:sz w:val="24"/>
        </w:rPr>
        <w:t>malware</w:t>
      </w:r>
      <w:r>
        <w:rPr>
          <w:rFonts w:ascii="Times New Roman" w:hAnsi="Times New Roman" w:cs="Times New Roman" w:eastAsia="Times New Roman"/>
          <w:b w:val="0"/>
          <w:i w:val="0"/>
          <w:sz w:val="24"/>
        </w:rPr>
        <w:t xml:space="preserve"> conocido.</w:t>
      </w:r>
    </w:p>
    <w:p>
      <w:pPr>
        <w:spacing w:before="0" w:after="160" w:line="360" w:lineRule="auto"/>
        <w:ind w:firstLine="720"/>
        <w:jc w:val="both"/>
      </w:pPr>
      <w:r>
        <w:rPr>
          <w:rFonts w:ascii="Times New Roman" w:hAnsi="Times New Roman" w:cs="Times New Roman" w:eastAsia="Times New Roman"/>
          <w:b w:val="0"/>
          <w:i w:val="0"/>
          <w:sz w:val="24"/>
        </w:rPr>
        <w:t>Sandworm (</w:t>
      </w:r>
      <w:r>
        <w:rPr>
          <w:rFonts w:ascii="Times New Roman" w:hAnsi="Times New Roman" w:cs="Times New Roman" w:eastAsia="Times New Roman"/>
          <w:b/>
          <w:i w:val="0"/>
          <w:sz w:val="24"/>
        </w:rPr>
        <w:t>grupo ruso responsable del apagón eléctrico ucraniano de 2015</w:t>
      </w:r>
      <w:r>
        <w:rPr>
          <w:rFonts w:ascii="Times New Roman" w:hAnsi="Times New Roman" w:cs="Times New Roman" w:eastAsia="Times New Roman"/>
          <w:b w:val="0"/>
          <w:i w:val="0"/>
          <w:sz w:val="24"/>
        </w:rPr>
        <w:t xml:space="preserve">) y APT28 (también ruso) operan bajo la misma lógica: acceso persistente sin destrucción inmediata. Su objetivo no es el ciberespionaje comercial, sino preparar la capacidad de sabotaje para momentos de crisis geopolítica. En un escenario hipotético de escalada geopolítica, España podría enfrentar activación de accesos latentes en los sectores energético, portuario y de telecomunicaciones. </w:t>
      </w:r>
      <w:r>
        <w:rPr>
          <w:rFonts w:ascii="Times New Roman" w:hAnsi="Times New Roman" w:cs="Times New Roman" w:eastAsia="Times New Roman"/>
          <w:b/>
          <w:i w:val="0"/>
          <w:sz w:val="24"/>
        </w:rPr>
        <w:t>Aunque las infraestructuras críticas españolas cuentan con proveedores certificados y contramedidas</w:t>
      </w:r>
      <w:r>
        <w:rPr>
          <w:rFonts w:ascii="Times New Roman" w:hAnsi="Times New Roman" w:cs="Times New Roman" w:eastAsia="Times New Roman"/>
          <w:b w:val="0"/>
          <w:i w:val="0"/>
          <w:sz w:val="24"/>
        </w:rPr>
        <w:t xml:space="preserve"> (muchas están aisladas de Internet y requieren fallo humano para compromiso remoto), el riesgo no desaparece: </w:t>
      </w:r>
      <w:r>
        <w:rPr>
          <w:rFonts w:ascii="Times New Roman" w:hAnsi="Times New Roman" w:cs="Times New Roman" w:eastAsia="Times New Roman"/>
          <w:b/>
          <w:i w:val="0"/>
          <w:sz w:val="24"/>
        </w:rPr>
        <w:t>solo se desplaza al factor humano y a la cadena de suministro</w:t>
      </w:r>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 xml:space="preserve">Expertos de la empresa Zerod estiman que existe una probabilidad superior al 60% de que una infraestructura crítica española sufra un ataque grave con consecuencias sistémicas en los próximos cinco años. </w:t>
      </w:r>
      <w:r>
        <w:rPr>
          <w:rFonts w:ascii="Times New Roman" w:hAnsi="Times New Roman" w:cs="Times New Roman" w:eastAsia="Times New Roman"/>
          <w:b/>
          <w:i w:val="0"/>
          <w:sz w:val="24"/>
        </w:rPr>
        <w:t>No es si ocurrirá, sino cuándo.</w:t>
      </w:r>
    </w:p>
    <w:p>
      <w:pPr>
        <w:keepNext/>
        <w:spacing w:before="480" w:after="160" w:line="360" w:lineRule="auto"/>
        <w:jc w:val="center"/>
      </w:pPr>
      <w:r>
        <w:rPr>
          <w:rFonts w:ascii="Times New Roman" w:hAnsi="Times New Roman" w:cs="Times New Roman" w:eastAsia="Times New Roman"/>
          <w:b/>
          <w:i w:val="0"/>
          <w:sz w:val="24"/>
        </w:rPr>
        <w:t>¿Por qué España no puede dejar de ser un objetivo?</w:t>
      </w:r>
    </w:p>
    <w:p>
      <w:pPr>
        <w:spacing w:before="0" w:after="160" w:line="360" w:lineRule="auto"/>
        <w:ind w:firstLine="720"/>
        <w:jc w:val="both"/>
      </w:pPr>
      <w:r>
        <w:rPr>
          <w:rFonts w:ascii="Times New Roman" w:hAnsi="Times New Roman" w:cs="Times New Roman" w:eastAsia="Times New Roman"/>
          <w:b w:val="0"/>
          <w:i w:val="0"/>
          <w:sz w:val="24"/>
        </w:rPr>
        <w:t xml:space="preserve">España no eligió ser objetivo prioritario. </w:t>
      </w:r>
      <w:r>
        <w:rPr>
          <w:rFonts w:ascii="Times New Roman" w:hAnsi="Times New Roman" w:cs="Times New Roman" w:eastAsia="Times New Roman"/>
          <w:b/>
          <w:i w:val="0"/>
          <w:sz w:val="24"/>
        </w:rPr>
        <w:t>Su posición geográfica lo decidió por ella.</w:t>
      </w:r>
      <w:r>
        <w:rPr>
          <w:rFonts w:ascii="Times New Roman" w:hAnsi="Times New Roman" w:cs="Times New Roman" w:eastAsia="Times New Roman"/>
          <w:b w:val="0"/>
          <w:i w:val="0"/>
          <w:sz w:val="24"/>
        </w:rPr>
        <w:t xml:space="preserve"> El país concentra tres vectores geoestratégicos irrenunciables que lo convierten en nodo crítico para Europa.</w:t>
      </w:r>
    </w:p>
    <w:p>
      <w:pPr>
        <w:spacing w:before="0" w:after="160" w:line="360" w:lineRule="auto"/>
        <w:ind w:firstLine="720"/>
        <w:jc w:val="both"/>
      </w:pPr>
      <w:r>
        <w:rPr>
          <w:rFonts w:ascii="Times New Roman" w:hAnsi="Times New Roman" w:cs="Times New Roman" w:eastAsia="Times New Roman"/>
          <w:b w:val="0"/>
          <w:i w:val="0"/>
          <w:sz w:val="24"/>
        </w:rPr>
        <w:t xml:space="preserve">Primero, </w:t>
      </w:r>
      <w:r>
        <w:rPr>
          <w:rFonts w:ascii="Times New Roman" w:hAnsi="Times New Roman" w:cs="Times New Roman" w:eastAsia="Times New Roman"/>
          <w:b/>
          <w:i w:val="0"/>
          <w:sz w:val="24"/>
        </w:rPr>
        <w:t>el estrecho de Gibraltar</w:t>
      </w:r>
      <w:r>
        <w:rPr>
          <w:rFonts w:ascii="Times New Roman" w:hAnsi="Times New Roman" w:cs="Times New Roman" w:eastAsia="Times New Roman"/>
          <w:b w:val="0"/>
          <w:i w:val="0"/>
          <w:sz w:val="24"/>
        </w:rPr>
        <w:t xml:space="preserve">: catorce kilómetros que separan Europa de África, por donde transita el 20% del comercio marítimo mundial y </w:t>
      </w:r>
      <w:r>
        <w:rPr>
          <w:rFonts w:ascii="Times New Roman" w:hAnsi="Times New Roman" w:cs="Times New Roman" w:eastAsia="Times New Roman"/>
          <w:b/>
          <w:i w:val="0"/>
          <w:sz w:val="24"/>
        </w:rPr>
        <w:t>donde pasan cables submarinos de telecomunicaciones</w:t>
      </w:r>
      <w:r>
        <w:rPr>
          <w:rFonts w:ascii="Times New Roman" w:hAnsi="Times New Roman" w:cs="Times New Roman" w:eastAsia="Times New Roman"/>
          <w:b w:val="0"/>
          <w:i w:val="0"/>
          <w:sz w:val="24"/>
        </w:rPr>
        <w:t xml:space="preserve"> (como el MAREA transatlántico) y gasoductos (Medgaz conecta Argelia con España). Un sabotaje coordinado (corte de cables más ciberataque a puertos) degradaría severamente la conectividad mediterránea. Aunque existe redundancia terrestre hacia Francia y Portugal, la congestión resultante y el aislamiento parcial del norte de África generarían disrupciones comerciales, logísticas y financieras durante semanas.</w:t>
      </w:r>
    </w:p>
    <w:p>
      <w:pPr>
        <w:spacing w:before="0" w:after="160" w:line="360" w:lineRule="auto"/>
        <w:ind w:firstLine="720"/>
        <w:jc w:val="both"/>
      </w:pPr>
      <w:r>
        <w:rPr>
          <w:rFonts w:ascii="Times New Roman" w:hAnsi="Times New Roman" w:cs="Times New Roman" w:eastAsia="Times New Roman"/>
          <w:b w:val="0"/>
          <w:i w:val="0"/>
          <w:sz w:val="24"/>
        </w:rPr>
        <w:t xml:space="preserve">Segundo, </w:t>
      </w:r>
      <w:r>
        <w:rPr>
          <w:rFonts w:ascii="Times New Roman" w:hAnsi="Times New Roman" w:cs="Times New Roman" w:eastAsia="Times New Roman"/>
          <w:b/>
          <w:i w:val="0"/>
          <w:sz w:val="24"/>
        </w:rPr>
        <w:t>los puertos españoles</w:t>
      </w:r>
      <w:r>
        <w:rPr>
          <w:rFonts w:ascii="Times New Roman" w:hAnsi="Times New Roman" w:cs="Times New Roman" w:eastAsia="Times New Roman"/>
          <w:b w:val="0"/>
          <w:i w:val="0"/>
          <w:sz w:val="24"/>
        </w:rPr>
        <w:t xml:space="preserve"> </w:t>
      </w:r>
      <w:hyperlink r:id="rId13">
        <w:r>
          <w:rPr>
            <w:rFonts w:ascii="Times New Roman" w:hAnsi="Times New Roman" w:cs="Times New Roman" w:eastAsia="Times New Roman"/>
            <w:color w:val="0563C1"/>
            <w:u w:val="single"/>
            <w:sz w:val="24"/>
          </w:rPr>
          <w:t xml:space="preserve">como Algeciras, Valencia y Barcelona</w:t>
        </w:r>
      </w:hyperlink>
      <w:r>
        <w:rPr>
          <w:rFonts w:ascii="Times New Roman" w:hAnsi="Times New Roman" w:cs="Times New Roman" w:eastAsia="Times New Roman"/>
          <w:b w:val="0"/>
          <w:i w:val="0"/>
          <w:sz w:val="24"/>
        </w:rPr>
        <w:t xml:space="preserve"> gestionan el 65% del comercio español. </w:t>
      </w:r>
      <w:r>
        <w:rPr>
          <w:rFonts w:ascii="Times New Roman" w:hAnsi="Times New Roman" w:cs="Times New Roman" w:eastAsia="Times New Roman"/>
          <w:b/>
          <w:i w:val="0"/>
          <w:sz w:val="24"/>
        </w:rPr>
        <w:t>En 2024, el sector transporte sufrió sesenta ciberataques graves, casi tres veces más que en 2023</w:t>
      </w:r>
      <w:r>
        <w:rPr>
          <w:rFonts w:ascii="Times New Roman" w:hAnsi="Times New Roman" w:cs="Times New Roman" w:eastAsia="Times New Roman"/>
          <w:b w:val="0"/>
          <w:i w:val="0"/>
          <w:sz w:val="24"/>
        </w:rPr>
        <w:t xml:space="preserve">. Un ataque tipo NotPetya (el </w:t>
      </w:r>
      <w:r>
        <w:rPr>
          <w:rFonts w:ascii="Times New Roman" w:hAnsi="Times New Roman" w:cs="Times New Roman" w:eastAsia="Times New Roman"/>
          <w:b w:val="0"/>
          <w:i/>
          <w:sz w:val="24"/>
        </w:rPr>
        <w:t>ransomware</w:t>
      </w:r>
      <w:r>
        <w:rPr>
          <w:rFonts w:ascii="Times New Roman" w:hAnsi="Times New Roman" w:cs="Times New Roman" w:eastAsia="Times New Roman"/>
          <w:b w:val="0"/>
          <w:i w:val="0"/>
          <w:sz w:val="24"/>
        </w:rPr>
        <w:t xml:space="preserve"> que costó 300 millones de dólares a Maersk en 2017) contra estos tres puertos simultáneamente generaría un efecto dominó en toda la cadena logística europea.</w:t>
      </w:r>
    </w:p>
    <w:p>
      <w:pPr>
        <w:spacing w:before="0" w:after="160" w:line="360" w:lineRule="auto"/>
        <w:ind w:firstLine="720"/>
        <w:jc w:val="both"/>
      </w:pPr>
      <w:r>
        <w:rPr>
          <w:rFonts w:ascii="Times New Roman" w:hAnsi="Times New Roman" w:cs="Times New Roman" w:eastAsia="Times New Roman"/>
          <w:b w:val="0"/>
          <w:i w:val="0"/>
          <w:sz w:val="24"/>
        </w:rPr>
        <w:t xml:space="preserve">Tercero, </w:t>
      </w:r>
      <w:r>
        <w:rPr>
          <w:rFonts w:ascii="Times New Roman" w:hAnsi="Times New Roman" w:cs="Times New Roman" w:eastAsia="Times New Roman"/>
          <w:b/>
          <w:i w:val="0"/>
          <w:sz w:val="24"/>
        </w:rPr>
        <w:t>España alberga 17 de los 46 puertos de interés general con infraestructuras críticas energéticas e industriales</w:t>
      </w:r>
      <w:r>
        <w:rPr>
          <w:rFonts w:ascii="Times New Roman" w:hAnsi="Times New Roman" w:cs="Times New Roman" w:eastAsia="Times New Roman"/>
          <w:b w:val="0"/>
          <w:i w:val="0"/>
          <w:sz w:val="24"/>
        </w:rPr>
        <w:t>. La Armada Española detectó 65 buques de guerra y submarinos rusos en aguas españolas en el último año, mientras buques especializados como el Yantar (equipado con vehículos submarinos para cortar cables) patrullan el Mediterráneo sin vigilancia submarina continua española.</w:t>
      </w:r>
    </w:p>
    <w:p>
      <w:pPr>
        <w:spacing w:before="0" w:after="160" w:line="360" w:lineRule="auto"/>
        <w:ind w:firstLine="720"/>
        <w:jc w:val="both"/>
      </w:pPr>
      <w:r>
        <w:rPr>
          <w:rFonts w:ascii="Times New Roman" w:hAnsi="Times New Roman" w:cs="Times New Roman" w:eastAsia="Times New Roman"/>
          <w:b w:val="0"/>
          <w:i w:val="0"/>
          <w:sz w:val="24"/>
        </w:rPr>
        <w:t xml:space="preserve">La OTAN lanzó en enero la </w:t>
      </w:r>
      <w:hyperlink r:id="rId14">
        <w:r>
          <w:rPr>
            <w:rFonts w:ascii="Times New Roman" w:hAnsi="Times New Roman" w:cs="Times New Roman" w:eastAsia="Times New Roman"/>
            <w:color w:val="0563C1"/>
            <w:u w:val="single"/>
            <w:sz w:val="24"/>
          </w:rPr>
          <w:t xml:space="preserve">Operación Baltic Sentry</w:t>
        </w:r>
      </w:hyperlink>
      <w:r>
        <w:rPr>
          <w:rFonts w:ascii="Times New Roman" w:hAnsi="Times New Roman" w:cs="Times New Roman" w:eastAsia="Times New Roman"/>
          <w:b w:val="0"/>
          <w:i w:val="0"/>
          <w:sz w:val="24"/>
        </w:rPr>
        <w:t xml:space="preserve"> para proteger los cables submarinos en el Báltico tras sabotajes detectados (cables C-Lion Finlandia-Alemania cortados en noviembre). </w:t>
      </w:r>
      <w:r>
        <w:rPr>
          <w:rFonts w:ascii="Times New Roman" w:hAnsi="Times New Roman" w:cs="Times New Roman" w:eastAsia="Times New Roman"/>
          <w:b/>
          <w:i w:val="0"/>
          <w:sz w:val="24"/>
        </w:rPr>
        <w:t>Esta iniciativa ha logrado disuadir nuevos ataques.</w:t>
      </w:r>
      <w:r>
        <w:rPr>
          <w:rFonts w:ascii="Times New Roman" w:hAnsi="Times New Roman" w:cs="Times New Roman" w:eastAsia="Times New Roman"/>
          <w:b w:val="0"/>
          <w:i w:val="0"/>
          <w:sz w:val="24"/>
        </w:rPr>
        <w:t xml:space="preserve"> Pero no existe equivalente mediterráneo, dejando a España expuesta. El recientemente presentado dron naval español SEAD 23 puede cubrir doce millas náuticas con sonar, insuficiente para vigilancia integral del Estrecho. </w:t>
      </w:r>
      <w:r>
        <w:rPr>
          <w:rFonts w:ascii="Times New Roman" w:hAnsi="Times New Roman" w:cs="Times New Roman" w:eastAsia="Times New Roman"/>
          <w:b/>
          <w:i w:val="0"/>
          <w:sz w:val="24"/>
        </w:rPr>
        <w:t>Además, opera en superficie, incapaz de detectar submarinos rusos o ROV cortando cables a trescientos metros de profundidad.</w:t>
      </w:r>
    </w:p>
    <w:p>
      <w:pPr>
        <w:keepNext/>
        <w:spacing w:before="480" w:after="160" w:line="360" w:lineRule="auto"/>
        <w:jc w:val="center"/>
      </w:pPr>
      <w:r>
        <w:rPr>
          <w:rFonts w:ascii="Times New Roman" w:hAnsi="Times New Roman" w:cs="Times New Roman" w:eastAsia="Times New Roman"/>
          <w:b/>
          <w:i w:val="0"/>
          <w:sz w:val="24"/>
        </w:rPr>
        <w:t>Tres vigilantes que se mantienen distantes</w:t>
      </w:r>
    </w:p>
    <w:p>
      <w:pPr>
        <w:spacing w:before="0" w:after="160" w:line="360" w:lineRule="auto"/>
        <w:ind w:firstLine="720"/>
        <w:jc w:val="both"/>
      </w:pPr>
      <w:r>
        <w:rPr>
          <w:rFonts w:ascii="Times New Roman" w:hAnsi="Times New Roman" w:cs="Times New Roman" w:eastAsia="Times New Roman"/>
          <w:b w:val="0"/>
          <w:i w:val="0"/>
          <w:sz w:val="24"/>
        </w:rPr>
        <w:t xml:space="preserve">España tiene tres autoridades competentes en ciberseguridad de infraestructuras críticas: </w:t>
      </w:r>
      <w:r>
        <w:rPr>
          <w:rFonts w:ascii="Times New Roman" w:hAnsi="Times New Roman" w:cs="Times New Roman" w:eastAsia="Times New Roman"/>
          <w:b/>
          <w:i w:val="0"/>
          <w:sz w:val="24"/>
        </w:rPr>
        <w:t>el CNPIC</w:t>
      </w:r>
      <w:r>
        <w:rPr>
          <w:rFonts w:ascii="Times New Roman" w:hAnsi="Times New Roman" w:cs="Times New Roman" w:eastAsia="Times New Roman"/>
          <w:b w:val="0"/>
          <w:i w:val="0"/>
          <w:sz w:val="24"/>
        </w:rPr>
        <w:t xml:space="preserve"> (Ministerio del Interior), </w:t>
      </w:r>
      <w:r>
        <w:rPr>
          <w:rFonts w:ascii="Times New Roman" w:hAnsi="Times New Roman" w:cs="Times New Roman" w:eastAsia="Times New Roman"/>
          <w:b/>
          <w:i w:val="0"/>
          <w:sz w:val="24"/>
        </w:rPr>
        <w:t>el CCN-CERT</w:t>
      </w:r>
      <w:r>
        <w:rPr>
          <w:rFonts w:ascii="Times New Roman" w:hAnsi="Times New Roman" w:cs="Times New Roman" w:eastAsia="Times New Roman"/>
          <w:b w:val="0"/>
          <w:i w:val="0"/>
          <w:sz w:val="24"/>
        </w:rPr>
        <w:t xml:space="preserve"> (Defensa/CNI) </w:t>
      </w:r>
      <w:r>
        <w:rPr>
          <w:rFonts w:ascii="Times New Roman" w:hAnsi="Times New Roman" w:cs="Times New Roman" w:eastAsia="Times New Roman"/>
          <w:b/>
          <w:i w:val="0"/>
          <w:sz w:val="24"/>
        </w:rPr>
        <w:t>e INCIBE-CERT</w:t>
      </w:r>
      <w:r>
        <w:rPr>
          <w:rFonts w:ascii="Times New Roman" w:hAnsi="Times New Roman" w:cs="Times New Roman" w:eastAsia="Times New Roman"/>
          <w:b w:val="0"/>
          <w:i w:val="0"/>
          <w:sz w:val="24"/>
        </w:rPr>
        <w:t xml:space="preserve"> (empresas y ciudadanos). En crisis reales, las tres actúan conjuntamente: si es infraestructura privada, lidera INCIBE, si es pública, CCN-CERT, </w:t>
      </w:r>
      <w:r>
        <w:rPr>
          <w:rFonts w:ascii="Times New Roman" w:hAnsi="Times New Roman" w:cs="Times New Roman" w:eastAsia="Times New Roman"/>
          <w:b/>
          <w:i w:val="0"/>
          <w:sz w:val="24"/>
        </w:rPr>
        <w:t>si es crítica público-privada</w:t>
      </w:r>
      <w:r>
        <w:rPr>
          <w:rFonts w:ascii="Times New Roman" w:hAnsi="Times New Roman" w:cs="Times New Roman" w:eastAsia="Times New Roman"/>
          <w:b w:val="0"/>
          <w:i w:val="0"/>
          <w:sz w:val="24"/>
        </w:rPr>
        <w:t xml:space="preserve"> (como </w:t>
      </w:r>
      <w:hyperlink r:id="rId15">
        <w:r>
          <w:rPr>
            <w:rFonts w:ascii="Times New Roman" w:hAnsi="Times New Roman" w:cs="Times New Roman" w:eastAsia="Times New Roman"/>
            <w:color w:val="0563C1"/>
            <w:u w:val="single"/>
            <w:sz w:val="24"/>
          </w:rPr>
          <w:t xml:space="preserve">el apagón de 2025</w:t>
        </w:r>
      </w:hyperlink>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coordinan las tres simultáneamente</w:t>
      </w:r>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 xml:space="preserve">El CCN-CERT gestionó más de 30.000 incidentes catalogados como críticos o muy altos en sus veinte años de historia, con un crecimiento del 1.384% en la última década. </w:t>
      </w:r>
      <w:r>
        <w:rPr>
          <w:rFonts w:ascii="Times New Roman" w:hAnsi="Times New Roman" w:cs="Times New Roman" w:eastAsia="Times New Roman"/>
          <w:b/>
          <w:i w:val="0"/>
          <w:sz w:val="24"/>
        </w:rPr>
        <w:t>INCIBE reportó 97.348 incidentes en 2024</w:t>
      </w:r>
      <w:r>
        <w:rPr>
          <w:rFonts w:ascii="Times New Roman" w:hAnsi="Times New Roman" w:cs="Times New Roman" w:eastAsia="Times New Roman"/>
          <w:b w:val="0"/>
          <w:i w:val="0"/>
          <w:sz w:val="24"/>
        </w:rPr>
        <w:t xml:space="preserve"> (aumento del 16,6% respecto a 2023). Pero </w:t>
      </w:r>
      <w:r>
        <w:rPr>
          <w:rFonts w:ascii="Times New Roman" w:hAnsi="Times New Roman" w:cs="Times New Roman" w:eastAsia="Times New Roman"/>
          <w:b/>
          <w:i w:val="0"/>
          <w:sz w:val="24"/>
        </w:rPr>
        <w:t>estas cifras dependen de notificaciones voluntarias cuando el riesgo es alto</w:t>
      </w:r>
      <w:r>
        <w:rPr>
          <w:rFonts w:ascii="Times New Roman" w:hAnsi="Times New Roman" w:cs="Times New Roman" w:eastAsia="Times New Roman"/>
          <w:b w:val="0"/>
          <w:i w:val="0"/>
          <w:sz w:val="24"/>
        </w:rPr>
        <w:t>, generando subregistro: ataques contenidos exitosamente o clasificados como riesgo medio no aparecen en estadísticas oficiales.</w:t>
      </w:r>
    </w:p>
    <w:p>
      <w:pPr>
        <w:spacing w:before="0" w:after="160" w:line="360" w:lineRule="auto"/>
        <w:ind w:firstLine="720"/>
        <w:jc w:val="both"/>
      </w:pPr>
      <w:r>
        <w:rPr>
          <w:rFonts w:ascii="Times New Roman" w:hAnsi="Times New Roman" w:cs="Times New Roman" w:eastAsia="Times New Roman"/>
          <w:b w:val="0"/>
          <w:i w:val="0"/>
          <w:sz w:val="24"/>
        </w:rPr>
        <w:t xml:space="preserve">El CNPIC tiene 150 empleados para supervisar protección de más de 2.000 operadores críticos en toda España, aunque los operadores cuentan con personal cualificado propio que actúan coordinadamente con CNPIC. La Directiva NIS2 europea establece controles obligatorios, pero </w:t>
      </w:r>
      <w:r>
        <w:rPr>
          <w:rFonts w:ascii="Times New Roman" w:hAnsi="Times New Roman" w:cs="Times New Roman" w:eastAsia="Times New Roman"/>
          <w:b/>
          <w:i w:val="0"/>
          <w:sz w:val="24"/>
        </w:rPr>
        <w:t>España carece de presupuesto y personal para verificación práctica</w:t>
      </w:r>
      <w:r>
        <w:rPr>
          <w:rFonts w:ascii="Times New Roman" w:hAnsi="Times New Roman" w:cs="Times New Roman" w:eastAsia="Times New Roman"/>
          <w:b w:val="0"/>
          <w:i w:val="0"/>
          <w:sz w:val="24"/>
        </w:rPr>
        <w:t xml:space="preserve">. La normativa existe, </w:t>
      </w:r>
      <w:r>
        <w:rPr>
          <w:rFonts w:ascii="Times New Roman" w:hAnsi="Times New Roman" w:cs="Times New Roman" w:eastAsia="Times New Roman"/>
          <w:b/>
          <w:i w:val="0"/>
          <w:sz w:val="24"/>
        </w:rPr>
        <w:t>la capacidad de hacer que se cumpla, es un asunto más complicado</w:t>
      </w:r>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 xml:space="preserve">José Luis Rojo, socio de ciberseguridad de EY, señaló en abril que "se estima que faltaban unos 40.000 profesionales de ciberseguridad en España en 2024". Este déficit de talento es más grave que cualquier </w:t>
      </w:r>
      <w:hyperlink r:id="rId16">
        <w:r>
          <w:rPr>
            <w:rFonts w:ascii="Times New Roman" w:hAnsi="Times New Roman" w:cs="Times New Roman" w:eastAsia="Times New Roman"/>
            <w:color w:val="0563C1"/>
            <w:u w:val="single"/>
            <w:sz w:val="24"/>
          </w:rPr>
          <w:t xml:space="preserve">brecha tecnológica</w:t>
        </w:r>
      </w:hyperlink>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puedes comprar herramientas avanzadas, pero no crear expertos en seis meses</w:t>
      </w:r>
      <w:r>
        <w:rPr>
          <w:rFonts w:ascii="Times New Roman" w:hAnsi="Times New Roman" w:cs="Times New Roman" w:eastAsia="Times New Roman"/>
          <w:b w:val="0"/>
          <w:i w:val="0"/>
          <w:sz w:val="24"/>
        </w:rPr>
        <w:t>. Los programas de formación actuales producen 1.500 graduados anuales, insuficiente para cubrir la brecha en una década.</w:t>
      </w:r>
    </w:p>
    <w:p>
      <w:pPr>
        <w:keepNext/>
        <w:spacing w:before="480" w:after="160" w:line="360" w:lineRule="auto"/>
        <w:jc w:val="center"/>
      </w:pPr>
      <w:r>
        <w:rPr>
          <w:rFonts w:ascii="Times New Roman" w:hAnsi="Times New Roman" w:cs="Times New Roman" w:eastAsia="Times New Roman"/>
          <w:b/>
          <w:i w:val="0"/>
          <w:sz w:val="24"/>
        </w:rPr>
        <w:t>El sistema nervioso de España</w:t>
      </w:r>
    </w:p>
    <w:p>
      <w:pPr>
        <w:spacing w:before="0" w:after="160" w:line="360" w:lineRule="auto"/>
        <w:ind w:firstLine="720"/>
        <w:jc w:val="both"/>
      </w:pPr>
      <w:r>
        <w:rPr>
          <w:rFonts w:ascii="Times New Roman" w:hAnsi="Times New Roman" w:cs="Times New Roman" w:eastAsia="Times New Roman"/>
          <w:b w:val="0"/>
          <w:i w:val="0"/>
          <w:sz w:val="24"/>
        </w:rPr>
        <w:t xml:space="preserve">Según la x63 Unit de Cipher, los ciberataques a infraestructuras españolas aumentaron un 43% en 2024, con especial impacto en el sector energético, que concentró alrededor del 9% de esos incidentes. Sin embargo, </w:t>
      </w:r>
      <w:r>
        <w:rPr>
          <w:rFonts w:ascii="Times New Roman" w:hAnsi="Times New Roman" w:cs="Times New Roman" w:eastAsia="Times New Roman"/>
          <w:b/>
          <w:i w:val="0"/>
          <w:sz w:val="24"/>
        </w:rPr>
        <w:t>el verdadero problema no es la cantidad</w:t>
      </w:r>
      <w:r>
        <w:rPr>
          <w:rFonts w:ascii="Times New Roman" w:hAnsi="Times New Roman" w:cs="Times New Roman" w:eastAsia="Times New Roman"/>
          <w:b w:val="0"/>
          <w:i w:val="0"/>
          <w:sz w:val="24"/>
        </w:rPr>
        <w:t xml:space="preserve">, es que el 60% de sistemas de control industrial (SCADA) </w:t>
      </w:r>
      <w:hyperlink r:id="rId17">
        <w:r>
          <w:rPr>
            <w:rFonts w:ascii="Times New Roman" w:hAnsi="Times New Roman" w:cs="Times New Roman" w:eastAsia="Times New Roman"/>
            <w:color w:val="0563C1"/>
            <w:u w:val="single"/>
            <w:sz w:val="24"/>
          </w:rPr>
          <w:t xml:space="preserve">que gestionan redes eléctricas</w:t>
        </w:r>
      </w:hyperlink>
      <w:r>
        <w:rPr>
          <w:rFonts w:ascii="Times New Roman" w:hAnsi="Times New Roman" w:cs="Times New Roman" w:eastAsia="Times New Roman"/>
          <w:b w:val="0"/>
          <w:i w:val="0"/>
          <w:sz w:val="24"/>
        </w:rPr>
        <w:t xml:space="preserve">, plantas de agua y refinerías </w:t>
      </w:r>
      <w:r>
        <w:rPr>
          <w:rFonts w:ascii="Times New Roman" w:hAnsi="Times New Roman" w:cs="Times New Roman" w:eastAsia="Times New Roman"/>
          <w:b/>
          <w:i w:val="0"/>
          <w:sz w:val="24"/>
        </w:rPr>
        <w:t>operan con tecnología diseñada antes de 2010, cuando la ciberseguridad simplemente no era parámetro de diseño</w:t>
      </w:r>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i w:val="0"/>
          <w:sz w:val="24"/>
        </w:rPr>
        <w:t>Estos sistemas fueron creados para estar aislados físicamente.</w:t>
      </w:r>
      <w:r>
        <w:rPr>
          <w:rFonts w:ascii="Times New Roman" w:hAnsi="Times New Roman" w:cs="Times New Roman" w:eastAsia="Times New Roman"/>
          <w:b w:val="0"/>
          <w:i w:val="0"/>
          <w:sz w:val="24"/>
        </w:rPr>
        <w:t xml:space="preserve"> Ahora están conectados a redes corporativas para eficiencia operativa. Aquí surge un debate técnico importante: las infraestructuras críticas tienen obligatoriedad de aplicar el ENS y pasar auditorías, lo que en teoría garantiza segmentación adecuada entre redes IT (corporativas) y OT (operacionales). Sin embargo, </w:t>
      </w:r>
      <w:r>
        <w:rPr>
          <w:rFonts w:ascii="Times New Roman" w:hAnsi="Times New Roman" w:cs="Times New Roman" w:eastAsia="Times New Roman"/>
          <w:b/>
          <w:i w:val="0"/>
          <w:sz w:val="24"/>
        </w:rPr>
        <w:t>la realidad operativa presenta matices: la segmentación existe sobre papel, pero su implementación práctica varía según el operador y la antigüedad de los sistemas</w:t>
      </w:r>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 xml:space="preserve">Sandworm, el grupo ruso que apagó Ucrania en 2015, </w:t>
      </w:r>
      <w:r>
        <w:rPr>
          <w:rFonts w:ascii="Times New Roman" w:hAnsi="Times New Roman" w:cs="Times New Roman" w:eastAsia="Times New Roman"/>
          <w:b/>
          <w:i w:val="0"/>
          <w:sz w:val="24"/>
        </w:rPr>
        <w:t xml:space="preserve">utilizó precisamente esta vulnerabilidad: accedió a sistemas corporativos mediante </w:t>
      </w:r>
      <w:r>
        <w:rPr>
          <w:rFonts w:ascii="Times New Roman" w:hAnsi="Times New Roman" w:cs="Times New Roman" w:eastAsia="Times New Roman"/>
          <w:b/>
          <w:i/>
          <w:sz w:val="24"/>
        </w:rPr>
        <w:t>phishing</w:t>
      </w:r>
      <w:r>
        <w:rPr>
          <w:rFonts w:ascii="Times New Roman" w:hAnsi="Times New Roman" w:cs="Times New Roman" w:eastAsia="Times New Roman"/>
          <w:b/>
          <w:i w:val="0"/>
          <w:sz w:val="24"/>
        </w:rPr>
        <w:t xml:space="preserve"> convenciona</w:t>
      </w:r>
      <w:r>
        <w:rPr>
          <w:rFonts w:ascii="Times New Roman" w:hAnsi="Times New Roman" w:cs="Times New Roman" w:eastAsia="Times New Roman"/>
          <w:b w:val="0"/>
          <w:i w:val="0"/>
          <w:sz w:val="24"/>
        </w:rPr>
        <w:t>l, pero una vez dentro saltó a redes OT y controló directamente interruptores de subestaciones eléctricas. APT28 y Volt Typhoon replican esta doctrina.</w:t>
      </w:r>
    </w:p>
    <w:p>
      <w:pPr>
        <w:spacing w:before="0" w:after="160" w:line="360" w:lineRule="auto"/>
        <w:ind w:firstLine="720"/>
        <w:jc w:val="both"/>
      </w:pPr>
      <w:r>
        <w:rPr>
          <w:rFonts w:ascii="Times New Roman" w:hAnsi="Times New Roman" w:cs="Times New Roman" w:eastAsia="Times New Roman"/>
          <w:b w:val="0"/>
          <w:i w:val="0"/>
          <w:sz w:val="24"/>
        </w:rPr>
        <w:t xml:space="preserve">Además, se calcula que </w:t>
      </w:r>
      <w:r>
        <w:rPr>
          <w:rFonts w:ascii="Times New Roman" w:hAnsi="Times New Roman" w:cs="Times New Roman" w:eastAsia="Times New Roman"/>
          <w:b/>
          <w:i w:val="0"/>
          <w:sz w:val="24"/>
        </w:rPr>
        <w:t xml:space="preserve">el 85% de rúteres domésticos españoles nunca actualiza </w:t>
      </w:r>
      <w:r>
        <w:rPr>
          <w:rFonts w:ascii="Times New Roman" w:hAnsi="Times New Roman" w:cs="Times New Roman" w:eastAsia="Times New Roman"/>
          <w:b/>
          <w:i/>
          <w:sz w:val="24"/>
        </w:rPr>
        <w:t>firmware</w:t>
      </w:r>
      <w:r>
        <w:rPr>
          <w:rFonts w:ascii="Times New Roman" w:hAnsi="Times New Roman" w:cs="Times New Roman" w:eastAsia="Times New Roman"/>
          <w:b/>
          <w:i w:val="0"/>
          <w:sz w:val="24"/>
        </w:rPr>
        <w:t xml:space="preserve"> manualmente</w:t>
      </w:r>
      <w:r>
        <w:rPr>
          <w:rFonts w:ascii="Times New Roman" w:hAnsi="Times New Roman" w:cs="Times New Roman" w:eastAsia="Times New Roman"/>
          <w:b w:val="0"/>
          <w:i w:val="0"/>
          <w:sz w:val="24"/>
        </w:rPr>
        <w:t xml:space="preserve">, aunque muchos fabricantes implementan actualizaciones automáticas OTA. La explotación masiva de rúteres para crear botnets (como el </w:t>
      </w:r>
      <w:r>
        <w:rPr>
          <w:rFonts w:ascii="Times New Roman" w:hAnsi="Times New Roman" w:cs="Times New Roman" w:eastAsia="Times New Roman"/>
          <w:b w:val="0"/>
          <w:i/>
          <w:sz w:val="24"/>
        </w:rPr>
        <w:t>malware</w:t>
      </w:r>
      <w:r>
        <w:rPr>
          <w:rFonts w:ascii="Times New Roman" w:hAnsi="Times New Roman" w:cs="Times New Roman" w:eastAsia="Times New Roman"/>
          <w:b w:val="0"/>
          <w:i w:val="0"/>
          <w:sz w:val="24"/>
        </w:rPr>
        <w:t xml:space="preserve"> Mirai en el pasado) sigue siendo APT vigente, aunque las vulnerabilidades críticas explotables remotamente en rúteres modernos son menos frecuentes que hace una década. </w:t>
      </w:r>
      <w:r>
        <w:rPr>
          <w:rFonts w:ascii="Times New Roman" w:hAnsi="Times New Roman" w:cs="Times New Roman" w:eastAsia="Times New Roman"/>
          <w:b/>
          <w:i w:val="0"/>
          <w:sz w:val="24"/>
        </w:rPr>
        <w:t>Aun así, el compromiso de rúteres domésticos para enmascarar tráfico malicioso sigue siendo táctica documentada.</w:t>
      </w:r>
    </w:p>
    <w:p>
      <w:pPr>
        <w:spacing w:before="0" w:after="160" w:line="360" w:lineRule="auto"/>
        <w:ind w:firstLine="720"/>
        <w:jc w:val="both"/>
      </w:pPr>
      <w:r>
        <w:rPr>
          <w:rFonts w:ascii="Times New Roman" w:hAnsi="Times New Roman" w:cs="Times New Roman" w:eastAsia="Times New Roman"/>
          <w:b w:val="0"/>
          <w:i w:val="0"/>
          <w:sz w:val="24"/>
        </w:rPr>
        <w:t xml:space="preserve">En España las tres autoridades </w:t>
      </w:r>
      <w:hyperlink r:id="rId18">
        <w:r>
          <w:rPr>
            <w:rFonts w:ascii="Times New Roman" w:hAnsi="Times New Roman" w:cs="Times New Roman" w:eastAsia="Times New Roman"/>
            <w:color w:val="0563C1"/>
            <w:u w:val="single"/>
            <w:sz w:val="24"/>
          </w:rPr>
          <w:t xml:space="preserve">tienen protocolos</w:t>
        </w:r>
      </w:hyperlink>
      <w:r>
        <w:rPr>
          <w:rFonts w:ascii="Times New Roman" w:hAnsi="Times New Roman" w:cs="Times New Roman" w:eastAsia="Times New Roman"/>
          <w:b w:val="0"/>
          <w:i w:val="0"/>
          <w:sz w:val="24"/>
        </w:rPr>
        <w:t xml:space="preserve"> sobre papel y realizan ejercicios sectoriales anuales (CyberEx España desde 2016). Pero nunca ha simulado una crisis nacional con ciberataques simultáneos contra múltiples sectores interdependientes que entrene </w:t>
      </w:r>
      <w:hyperlink r:id="rId19">
        <w:r>
          <w:rPr>
            <w:rFonts w:ascii="Times New Roman" w:hAnsi="Times New Roman" w:cs="Times New Roman" w:eastAsia="Times New Roman"/>
            <w:color w:val="0563C1"/>
            <w:u w:val="single"/>
            <w:sz w:val="24"/>
          </w:rPr>
          <w:t xml:space="preserve">coordinación real</w:t>
        </w:r>
      </w:hyperlink>
      <w:r>
        <w:rPr>
          <w:rFonts w:ascii="Times New Roman" w:hAnsi="Times New Roman" w:cs="Times New Roman" w:eastAsia="Times New Roman"/>
          <w:b w:val="0"/>
          <w:i w:val="0"/>
          <w:sz w:val="24"/>
        </w:rPr>
        <w:t xml:space="preserve"> entre ministerios, comunidades autónomas, fuerzas de seguridad y operadores críticos bajo presión.</w:t>
      </w:r>
    </w:p>
    <w:p>
      <w:pPr>
        <w:keepNext/>
        <w:spacing w:before="480" w:after="160" w:line="360" w:lineRule="auto"/>
        <w:jc w:val="center"/>
      </w:pPr>
      <w:r>
        <w:rPr>
          <w:rFonts w:ascii="Times New Roman" w:hAnsi="Times New Roman" w:cs="Times New Roman" w:eastAsia="Times New Roman"/>
          <w:b/>
          <w:i w:val="0"/>
          <w:sz w:val="24"/>
        </w:rPr>
        <w:t>El conflicto que España no imagina</w:t>
      </w:r>
    </w:p>
    <w:p>
      <w:pPr>
        <w:spacing w:before="0" w:after="160" w:line="360" w:lineRule="auto"/>
        <w:ind w:firstLine="720"/>
        <w:jc w:val="both"/>
      </w:pPr>
      <w:r>
        <w:rPr>
          <w:rFonts w:ascii="Times New Roman" w:hAnsi="Times New Roman" w:cs="Times New Roman" w:eastAsia="Times New Roman"/>
          <w:b w:val="0"/>
          <w:i w:val="0"/>
          <w:sz w:val="24"/>
        </w:rPr>
        <w:t xml:space="preserve">El peligro no es el ciberataque que España imagina: </w:t>
      </w:r>
      <w:r>
        <w:rPr>
          <w:rFonts w:ascii="Times New Roman" w:hAnsi="Times New Roman" w:cs="Times New Roman" w:eastAsia="Times New Roman"/>
          <w:b/>
          <w:i w:val="0"/>
          <w:sz w:val="24"/>
        </w:rPr>
        <w:t>masivo, atribuible, equivalente a una declaración de guerra.</w:t>
      </w:r>
      <w:r>
        <w:rPr>
          <w:rFonts w:ascii="Times New Roman" w:hAnsi="Times New Roman" w:cs="Times New Roman" w:eastAsia="Times New Roman"/>
          <w:b w:val="0"/>
          <w:i w:val="0"/>
          <w:sz w:val="24"/>
        </w:rPr>
        <w:t xml:space="preserve"> El peligro es el ciberataque que no imagina: silencioso, gradual, </w:t>
      </w:r>
      <w:r>
        <w:rPr>
          <w:rFonts w:ascii="Times New Roman" w:hAnsi="Times New Roman" w:cs="Times New Roman" w:eastAsia="Times New Roman"/>
          <w:b/>
          <w:i w:val="0"/>
          <w:sz w:val="24"/>
        </w:rPr>
        <w:t>sin atribución clara, diseñado para erosionar confianza pública sin cruzar el umbral del Artículo 5 de la OTAN</w:t>
      </w:r>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 xml:space="preserve">Bauer advirtió que "Europa debe prepararse para ciberataques, sabotajes y otras actividades de zona gris". Pero añadiría un matiz crítico: </w:t>
      </w:r>
      <w:r>
        <w:rPr>
          <w:rFonts w:ascii="Times New Roman" w:hAnsi="Times New Roman" w:cs="Times New Roman" w:eastAsia="Times New Roman"/>
          <w:b/>
          <w:i w:val="0"/>
          <w:sz w:val="24"/>
        </w:rPr>
        <w:t>la guerra híbrida más eficaz no son los ciberataques a infraestructuras</w:t>
      </w:r>
      <w:r>
        <w:rPr>
          <w:rFonts w:ascii="Times New Roman" w:hAnsi="Times New Roman" w:cs="Times New Roman" w:eastAsia="Times New Roman"/>
          <w:b w:val="0"/>
          <w:i w:val="0"/>
          <w:sz w:val="24"/>
        </w:rPr>
        <w:t xml:space="preserve"> (cada vez más costosos, difíciles y con impacto reducido gracias a contramedidas), </w:t>
      </w:r>
      <w:r>
        <w:rPr>
          <w:rFonts w:ascii="Times New Roman" w:hAnsi="Times New Roman" w:cs="Times New Roman" w:eastAsia="Times New Roman"/>
          <w:b/>
          <w:i w:val="0"/>
          <w:sz w:val="24"/>
        </w:rPr>
        <w:t>sino la desestructuración mediante guerra de información y propaganda</w:t>
      </w:r>
      <w:r>
        <w:rPr>
          <w:rFonts w:ascii="Times New Roman" w:hAnsi="Times New Roman" w:cs="Times New Roman" w:eastAsia="Times New Roman"/>
          <w:b w:val="0"/>
          <w:i w:val="0"/>
          <w:sz w:val="24"/>
        </w:rPr>
        <w:t xml:space="preserve">. Rusia y otros actores han intentado injerencia en procesos catalanes y hay evidencias de operaciones para polarizar y desestabilizar mediante desinformación. A ello se suma el uso de herramientas como Pegasus </w:t>
      </w:r>
      <w:hyperlink r:id="rId20">
        <w:r>
          <w:rPr>
            <w:rFonts w:ascii="Times New Roman" w:hAnsi="Times New Roman" w:cs="Times New Roman" w:eastAsia="Times New Roman"/>
            <w:color w:val="0563C1"/>
            <w:u w:val="single"/>
            <w:sz w:val="24"/>
          </w:rPr>
          <w:t xml:space="preserve">en el entorno hispano-marroquí</w:t>
        </w:r>
      </w:hyperlink>
      <w:r>
        <w:rPr>
          <w:rFonts w:ascii="Times New Roman" w:hAnsi="Times New Roman" w:cs="Times New Roman" w:eastAsia="Times New Roman"/>
          <w:b w:val="0"/>
          <w:i w:val="0"/>
          <w:sz w:val="24"/>
        </w:rPr>
        <w:t xml:space="preserve">, que ha mostrado hasta qué punto el espionaje digital contra líderes políticos, </w:t>
      </w:r>
      <w:r>
        <w:rPr>
          <w:rFonts w:ascii="Times New Roman" w:hAnsi="Times New Roman" w:cs="Times New Roman" w:eastAsia="Times New Roman"/>
          <w:b/>
          <w:i w:val="0"/>
          <w:sz w:val="24"/>
        </w:rPr>
        <w:t>activistas y responsables de seguridad puede reconfigurar agendas y generar desconfianza interna de forma silenciosa</w:t>
      </w:r>
      <w:r>
        <w:rPr>
          <w:rFonts w:ascii="Times New Roman" w:hAnsi="Times New Roman" w:cs="Times New Roman" w:eastAsia="Times New Roman"/>
          <w:b w:val="0"/>
          <w:i w:val="0"/>
          <w:sz w:val="24"/>
        </w:rPr>
        <w:t>. El verdadero valor estratégico no está en apagar una subestación eléctrica durante seis horas, sino en robar datos clasificados de ministerios, presupuestos, contactos diplomáticos y planes estratégicos que proporcionen ventaja informacional duradera.</w:t>
      </w:r>
    </w:p>
    <w:p>
      <w:pPr>
        <w:spacing w:before="0" w:after="160" w:line="360" w:lineRule="auto"/>
        <w:ind w:firstLine="720"/>
        <w:jc w:val="both"/>
      </w:pPr>
      <w:r>
        <w:rPr>
          <w:rFonts w:ascii="Times New Roman" w:hAnsi="Times New Roman" w:cs="Times New Roman" w:eastAsia="Times New Roman"/>
          <w:b/>
          <w:i w:val="0"/>
          <w:sz w:val="24"/>
        </w:rPr>
        <w:t>España invirtió 370 millones de euros en ciberseguridad 2020-2024 y anunció 1.100 millones adicionales en 2025</w:t>
      </w:r>
      <w:r>
        <w:rPr>
          <w:rFonts w:ascii="Times New Roman" w:hAnsi="Times New Roman" w:cs="Times New Roman" w:eastAsia="Times New Roman"/>
          <w:b w:val="0"/>
          <w:i w:val="0"/>
          <w:sz w:val="24"/>
        </w:rPr>
        <w:t xml:space="preserve">. Pero comparado con presupuestos ofensivos de adversarios estatales (China invierte 2.000 millones de dólares), opera con una desventaja asimétrica. </w:t>
      </w:r>
      <w:r>
        <w:rPr>
          <w:rFonts w:ascii="Times New Roman" w:hAnsi="Times New Roman" w:cs="Times New Roman" w:eastAsia="Times New Roman"/>
          <w:b/>
          <w:i w:val="0"/>
          <w:sz w:val="24"/>
        </w:rPr>
        <w:t>Está protegiendo un castillo medieval con murallas más altas, cuando la amenaza llega por drones militares.</w:t>
      </w:r>
    </w:p>
    <w:p>
      <w:pPr>
        <w:spacing w:before="0" w:after="160" w:line="360" w:lineRule="auto"/>
        <w:ind w:firstLine="720"/>
        <w:jc w:val="both"/>
      </w:pPr>
      <w:r>
        <w:rPr>
          <w:rFonts w:ascii="Times New Roman" w:hAnsi="Times New Roman" w:cs="Times New Roman" w:eastAsia="Times New Roman"/>
          <w:b w:val="0"/>
          <w:i w:val="0"/>
          <w:sz w:val="24"/>
        </w:rPr>
        <w:t xml:space="preserve">España enfrenta un trilema cibernético estructural: es objetivo geográfico valioso, tiene capacidades defensivas en proceso de consolidación (ENS avanzando, pero implementación heterogénea) y </w:t>
      </w:r>
      <w:r>
        <w:rPr>
          <w:rFonts w:ascii="Times New Roman" w:hAnsi="Times New Roman" w:cs="Times New Roman" w:eastAsia="Times New Roman"/>
          <w:b/>
          <w:i w:val="0"/>
          <w:sz w:val="24"/>
        </w:rPr>
        <w:t>opera con interdependencias críticas que requieren modelado dinámico</w:t>
      </w:r>
      <w:r>
        <w:rPr>
          <w:rFonts w:ascii="Times New Roman" w:hAnsi="Times New Roman" w:cs="Times New Roman" w:eastAsia="Times New Roman"/>
          <w:b w:val="0"/>
          <w:i w:val="0"/>
          <w:sz w:val="24"/>
        </w:rPr>
        <w:t xml:space="preserve">. No hay solución parcial. </w:t>
      </w:r>
      <w:r>
        <w:rPr>
          <w:rFonts w:ascii="Times New Roman" w:hAnsi="Times New Roman" w:cs="Times New Roman" w:eastAsia="Times New Roman"/>
          <w:b/>
          <w:i w:val="0"/>
          <w:sz w:val="24"/>
        </w:rPr>
        <w:t>Requiere transformación doctrinal completa de "proteger cada instalación individualmente" a "resiliencia sistémica nacional"</w:t>
      </w:r>
      <w:r>
        <w:rPr>
          <w:rFonts w:ascii="Times New Roman" w:hAnsi="Times New Roman" w:cs="Times New Roman" w:eastAsia="Times New Roman"/>
          <w:b w:val="0"/>
          <w:i w:val="0"/>
          <w:sz w:val="24"/>
        </w:rPr>
        <w:t xml:space="preserve"> con modelado dinámico de interdependencias, inversión en vigilancia submarina, unificación de mando cibernético y simulacros multisectoriales.</w:t>
      </w:r>
    </w:p>
    <w:p>
      <w:pPr>
        <w:spacing w:before="0" w:after="160" w:line="360" w:lineRule="auto"/>
        <w:ind w:firstLine="720"/>
        <w:jc w:val="both"/>
      </w:pPr>
      <w:r>
        <w:rPr>
          <w:rFonts w:ascii="Times New Roman" w:hAnsi="Times New Roman" w:cs="Times New Roman" w:eastAsia="Times New Roman"/>
          <w:b/>
          <w:i w:val="0"/>
          <w:sz w:val="24"/>
        </w:rPr>
        <w:t>La ventana de acción se cierra.</w:t>
      </w:r>
      <w:r>
        <w:rPr>
          <w:rFonts w:ascii="Times New Roman" w:hAnsi="Times New Roman" w:cs="Times New Roman" w:eastAsia="Times New Roman"/>
          <w:b w:val="0"/>
          <w:i w:val="0"/>
          <w:sz w:val="24"/>
        </w:rPr>
        <w:t xml:space="preserve"> Cada mes sin transformación es un mes en actores estatales maliciosos consolidan capacidades. </w:t>
      </w:r>
      <w:r>
        <w:rPr>
          <w:rFonts w:ascii="Times New Roman" w:hAnsi="Times New Roman" w:cs="Times New Roman" w:eastAsia="Times New Roman"/>
          <w:b/>
          <w:i w:val="0"/>
          <w:sz w:val="24"/>
        </w:rPr>
        <w:t>Los guardias siguen vigilando las puertas de la casa española. La cuestión es vigilar también el interior y saber expulsar a tiempo al intruso que ya se ha sentado en el salón.</w:t>
      </w:r>
    </w:p>
    <w:p>
      <w:pPr>
        <w:spacing w:before="0" w:after="160" w:line="360" w:lineRule="auto"/>
        <w:ind w:firstLine="720"/>
        <w:jc w:val="both"/>
      </w:pPr>
      <w:r>
        <w:rPr>
          <w:rFonts w:ascii="Times New Roman" w:hAnsi="Times New Roman" w:cs="Times New Roman" w:eastAsia="Times New Roman"/>
          <w:b w:val="0"/>
          <w:i w:val="0"/>
          <w:sz w:val="24"/>
        </w:rPr>
        <w:t xml:space="preserve">Cuando llegue ese momento, España descubrirá que </w:t>
      </w:r>
      <w:hyperlink r:id="rId21">
        <w:r>
          <w:rPr>
            <w:rFonts w:ascii="Times New Roman" w:hAnsi="Times New Roman" w:cs="Times New Roman" w:eastAsia="Times New Roman"/>
            <w:color w:val="0563C1"/>
            <w:u w:val="single"/>
            <w:sz w:val="24"/>
          </w:rPr>
          <w:t xml:space="preserve">la verdadera amenaza</w:t>
        </w:r>
      </w:hyperlink>
      <w:r>
        <w:rPr>
          <w:rFonts w:ascii="Times New Roman" w:hAnsi="Times New Roman" w:cs="Times New Roman" w:eastAsia="Times New Roman"/>
          <w:b w:val="0"/>
          <w:i w:val="0"/>
          <w:sz w:val="24"/>
        </w:rPr>
        <w:t xml:space="preserve"> nunca fue el ataque que temía, sino el silencio que ignoró.</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¿POR QUÉ ESPAÑA ES UN OBJETIVO CIBERNÉTICO?</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hyperlink" Target="https://agendapublica.es/noticia/20290/prensa-ciclo-desinformacion" TargetMode="External"/><Relationship Id="rId10" Type="http://schemas.openxmlformats.org/officeDocument/2006/relationships/hyperlink" Target="https://agendapublica.es/noticia/20245/guerra-hibrida-ya-esta-aqui-ahora" TargetMode="External"/><Relationship Id="rId11" Type="http://schemas.openxmlformats.org/officeDocument/2006/relationships/hyperlink" Target="https://agendapublica.es/noticia/20246/fusion-indra-escribano-condiciones-crear-campeon-iberico-defensa" TargetMode="External"/><Relationship Id="rId12" Type="http://schemas.openxmlformats.org/officeDocument/2006/relationships/hyperlink" Target="https://agendapublica.es/noticia/20240/espana-ante-objetivo-xi-jinping-ruptura-europa-con-estados-unidos" TargetMode="External"/><Relationship Id="rId13" Type="http://schemas.openxmlformats.org/officeDocument/2006/relationships/hyperlink" Target="https://agendapublica.es/noticia/20436/tanger-vs-algeciras-marruecos-adelanta-espana-mediterraneo" TargetMode="External"/><Relationship Id="rId14" Type="http://schemas.openxmlformats.org/officeDocument/2006/relationships/hyperlink" Target="https://agendapublica.es/noticia/20186/asi-es-respuesta-otan-mayor-violacion-su-espacio-aereo-desde-guerra-fria" TargetMode="External"/><Relationship Id="rId15" Type="http://schemas.openxmlformats.org/officeDocument/2006/relationships/hyperlink" Target="https://agendapublica.es/noticia/19997/apagon-transicion-energetica-renovables-almacenamiento" TargetMode="External"/><Relationship Id="rId16" Type="http://schemas.openxmlformats.org/officeDocument/2006/relationships/hyperlink" Target="https://agendapublica.es/noticia/20415/hombre-contra-maquina-ia-desafio-politica-laboral" TargetMode="External"/><Relationship Id="rId17" Type="http://schemas.openxmlformats.org/officeDocument/2006/relationships/hyperlink" Target="https://agendapublica.es/noticia/20222/clave-esta-redes-electricas" TargetMode="External"/><Relationship Id="rId18" Type="http://schemas.openxmlformats.org/officeDocument/2006/relationships/hyperlink" Target="https://agendapublica.es/noticia/20333/directora-think-tank-noruego-seguridad-defensa-europa-atraviesa-fase-inestabilidad-largo-recorrido" TargetMode="External"/><Relationship Id="rId19" Type="http://schemas.openxmlformats.org/officeDocument/2006/relationships/hyperlink" Target="https://agendapublica.es/noticia/20400/ex-numero-dos-cni-cooperacion-europea-pasado-ser-obligacion-no-opcion" TargetMode="External"/><Relationship Id="rId20" Type="http://schemas.openxmlformats.org/officeDocument/2006/relationships/hyperlink" Target="https://agendapublica.es/noticia/20359/dosier-marroqui-prueba-europea-separa-pp-psoe" TargetMode="External"/><Relationship Id="rId21" Type="http://schemas.openxmlformats.org/officeDocument/2006/relationships/hyperlink" Target="https://agendapublica.es/noticia/20205/referencia-europea-contra-amenazas-hibridas-rusia-china-iran-buscan-debilitar-occident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