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7808" w14:textId="77777777" w:rsidR="002A0799" w:rsidRDefault="00000000">
      <w:pPr>
        <w:spacing w:before="2880" w:after="160" w:line="360" w:lineRule="auto"/>
        <w:jc w:val="center"/>
      </w:pPr>
      <w:r>
        <w:rPr>
          <w:b/>
        </w:rPr>
        <w:t>DESIGUALDAD SOCIAL Y ACCESO A LA INTELIGENCIA ARTIFICIAL: IMPLICACIONES PARA LA EDUCACIÓN EN EL SIGLO XXI</w:t>
      </w:r>
    </w:p>
    <w:p w14:paraId="7BBCAABC" w14:textId="77777777" w:rsidR="002A0799" w:rsidRDefault="002A0799">
      <w:pPr>
        <w:spacing w:line="360" w:lineRule="auto"/>
      </w:pPr>
    </w:p>
    <w:p w14:paraId="0FEEFAB7" w14:textId="77777777" w:rsidR="002A0799" w:rsidRDefault="00000000">
      <w:pPr>
        <w:spacing w:after="160" w:line="360" w:lineRule="auto"/>
        <w:jc w:val="center"/>
      </w:pPr>
      <w:r>
        <w:t>Ana Carolina Ibarra Polo</w:t>
      </w:r>
    </w:p>
    <w:p w14:paraId="5E15013D" w14:textId="77777777" w:rsidR="002A0799" w:rsidRDefault="00000000">
      <w:pPr>
        <w:spacing w:after="160" w:line="360" w:lineRule="auto"/>
        <w:jc w:val="center"/>
      </w:pPr>
      <w:r>
        <w:t>Estudiante del programa de Licenciatura de Educación Básica Primaria</w:t>
      </w:r>
    </w:p>
    <w:p w14:paraId="66DD7B4B" w14:textId="77777777" w:rsidR="002A0799" w:rsidRDefault="002A0799">
      <w:pPr>
        <w:pageBreakBefore/>
      </w:pPr>
    </w:p>
    <w:p w14:paraId="59CFC8EE" w14:textId="77777777" w:rsidR="002A0799" w:rsidRDefault="00000000">
      <w:pPr>
        <w:spacing w:before="480" w:after="160" w:line="360" w:lineRule="auto"/>
        <w:jc w:val="center"/>
      </w:pPr>
      <w:r>
        <w:rPr>
          <w:b/>
        </w:rPr>
        <w:t>Resumen</w:t>
      </w:r>
    </w:p>
    <w:p w14:paraId="135C46C1" w14:textId="77777777" w:rsidR="002A0799" w:rsidRDefault="00000000">
      <w:pPr>
        <w:spacing w:after="160" w:line="360" w:lineRule="auto"/>
        <w:jc w:val="both"/>
      </w:pPr>
      <w:r>
        <w:t>El presente artículo analiza las implicaciones de la inteligencia artificial (IA) en la educación del siglo XXI desde una perspectiva crítica, centrando la atención en la relación entre la desigualdad social, la brecha digital y el acceso equitativo a estas tecnologías. Se argumenta que la IA posee un importante potencial para personalizar el aprendizaje, optimizar los procesos de enseñanza y favorecer la inclusión educativa mediante sistemas adaptativos y retroalimentación inmediata. No obstante, dichos beneficios dependen de las condiciones sociales, económicas y tecnológicas en las que se implementa. El trabajo examina cómo factores como el acceso desigual a dispositivos, la conectividad, la infraestructura escolar y las competencias digitales pueden profundizar las desigualdades existentes, beneficiando principalmente a los sectores con mayores recursos. Asimismo, se abordan los desafíos éticos relacionados con los sesgos algorítmicos, la transparencia de los sistemas y el riesgo de deshumanización de los procesos educativos. Finalmente, se concluye que la IA no constituye una solución automática para la democratización del aprendizaje; por el contrario, su contribución a una educación inclusiva dependerá de políticas públicas orientadas a la equidad, la formación docente, la regulación ética y el acceso universal a las tecnologías digitales.</w:t>
      </w:r>
    </w:p>
    <w:p w14:paraId="561309FE" w14:textId="77777777" w:rsidR="002A0799" w:rsidRDefault="00000000">
      <w:pPr>
        <w:spacing w:after="160" w:line="360" w:lineRule="auto"/>
        <w:jc w:val="both"/>
      </w:pPr>
      <w:r>
        <w:rPr>
          <w:b/>
          <w:i/>
        </w:rPr>
        <w:t xml:space="preserve">Palabras clave: </w:t>
      </w:r>
      <w:r>
        <w:rPr>
          <w:i/>
        </w:rPr>
        <w:t>Inteligencia artificial; educación; desigualdad social; brecha digital; inclusión educativa; equidad; ética; competencias digitales.</w:t>
      </w:r>
    </w:p>
    <w:p w14:paraId="337331BC" w14:textId="77777777" w:rsidR="002A0799" w:rsidRDefault="002A0799">
      <w:pPr>
        <w:pageBreakBefore/>
      </w:pPr>
    </w:p>
    <w:p w14:paraId="6547D8AE" w14:textId="77777777" w:rsidR="002A0799" w:rsidRDefault="00000000">
      <w:pPr>
        <w:spacing w:before="480" w:after="160" w:line="360" w:lineRule="auto"/>
        <w:jc w:val="center"/>
      </w:pPr>
      <w:r>
        <w:rPr>
          <w:b/>
        </w:rPr>
        <w:t>DESIGUALDAD SOCIAL Y ACCESO A LA INTELIGENCIA ARTIFICIAL: IMPLICACIONES PARA LA EDUCACIÓN EN EL SIGLO XXI</w:t>
      </w:r>
    </w:p>
    <w:p w14:paraId="7891C643" w14:textId="77777777" w:rsidR="002A0799" w:rsidRDefault="00000000">
      <w:pPr>
        <w:keepNext/>
        <w:spacing w:before="480" w:after="160" w:line="360" w:lineRule="auto"/>
        <w:jc w:val="center"/>
      </w:pPr>
      <w:r>
        <w:rPr>
          <w:b/>
        </w:rPr>
        <w:t>Introducción</w:t>
      </w:r>
    </w:p>
    <w:p w14:paraId="0B6FE24B" w14:textId="77777777" w:rsidR="002A0799" w:rsidRDefault="00000000">
      <w:pPr>
        <w:spacing w:after="160" w:line="360" w:lineRule="auto"/>
        <w:ind w:firstLine="720"/>
        <w:jc w:val="both"/>
      </w:pPr>
      <w:r>
        <w:t xml:space="preserve">En el siglo XXI, la expansión de la inteligencia artificial (IA) se ha reconocido como uno de los factores que más están transformando los sistemas educativos a nivel global, con aportes teóricos como los de </w:t>
      </w:r>
      <w:proofErr w:type="spellStart"/>
      <w:r>
        <w:t>Luckin</w:t>
      </w:r>
      <w:proofErr w:type="spellEnd"/>
      <w:r>
        <w:t xml:space="preserve"> (2018) y Holmes (2021). Al mismo tiempo, esta transformación hace visibles —y en muchos casos intensifica— desigualdades sociales ya existentes. Este ensayo sostiene que la inteligencia artificial abre nuevas posibilidades para personalizar el aprendizaje y ofrecer apoyos diferenciados que pueden mejorar el rendimiento y la motivación del estudiantado, al ajustar contenidos y ritmos a sus necesidades individuales.</w:t>
      </w:r>
    </w:p>
    <w:p w14:paraId="5E4904BA" w14:textId="77777777" w:rsidR="002A0799" w:rsidRDefault="00000000">
      <w:pPr>
        <w:spacing w:after="160" w:line="360" w:lineRule="auto"/>
        <w:ind w:firstLine="720"/>
        <w:jc w:val="both"/>
      </w:pPr>
      <w:r>
        <w:t>En este contexto, la IA ofrece oportunidades para monitorear el progreso en tiempo real y generar retroalimentación inmediata, lo que favorece entornos más inclusivos, sobre todo para estudiantes con necesidades educativas especiales o pertenecientes a minorías. Además, permite analizar grandes volúmenes de datos educativos, lo que facilita decisiones pedagógicas más precisas y orientadas a la equidad. Desde esta perspectiva, su incorporación se vincula con el propósito de avanzar hacia una educación inclusiva y de calidad (UNESCO, 2024).</w:t>
      </w:r>
    </w:p>
    <w:p w14:paraId="3247373A" w14:textId="77777777" w:rsidR="002A0799" w:rsidRDefault="00000000">
      <w:pPr>
        <w:spacing w:after="160" w:line="360" w:lineRule="auto"/>
        <w:ind w:firstLine="720"/>
        <w:jc w:val="both"/>
      </w:pPr>
      <w:r>
        <w:t xml:space="preserve">Sin embargo, este potencial convive con un conjunto de brechas digitales y socioeconómicas, como el acceso desigual a dispositivos, la conectividad, las competencias digitales, la infraestructura escolar y las condiciones de estudio en el hogar. Estas brechas actúan como un mecanismo que traduce la desigualdad social en desigualdad educativa, pues limitan de manera sistemática el aprovechamiento de la IA por parte de poblaciones vulnerables, rurales y de bajos recursos, así como de grupos excluidos por su género, su discapacidad o su pertenencia étnica. Diversas investigaciones sustentan estas preocupaciones; entre las referencias más citadas se encuentran el trabajo de Selwyn (2020) y los informes de la UNESCO sobre la ética de la inteligencia artificial. Una de las investigaciones más robustas en este campo es la de Holmes (2021), </w:t>
      </w:r>
      <w:proofErr w:type="spellStart"/>
      <w:r>
        <w:t>Ethics</w:t>
      </w:r>
      <w:proofErr w:type="spellEnd"/>
      <w:r>
        <w:t xml:space="preserve"> </w:t>
      </w:r>
      <w:proofErr w:type="spellStart"/>
      <w:r>
        <w:t>of</w:t>
      </w:r>
      <w:proofErr w:type="spellEnd"/>
      <w:r>
        <w:t xml:space="preserve"> AI in </w:t>
      </w:r>
      <w:proofErr w:type="spellStart"/>
      <w:r>
        <w:t>Education</w:t>
      </w:r>
      <w:proofErr w:type="spellEnd"/>
      <w:r>
        <w:t xml:space="preserve">: </w:t>
      </w:r>
      <w:proofErr w:type="spellStart"/>
      <w:r>
        <w:t>Towards</w:t>
      </w:r>
      <w:proofErr w:type="spellEnd"/>
      <w:r>
        <w:t xml:space="preserve"> a </w:t>
      </w:r>
      <w:proofErr w:type="spellStart"/>
      <w:r>
        <w:t>Community</w:t>
      </w:r>
      <w:proofErr w:type="spellEnd"/>
      <w:r>
        <w:t xml:space="preserve">-Wide Framework, que examina cómo la implementación de la IA puede generar un “efecto Mateo” en la educación, según el cual quienes </w:t>
      </w:r>
      <w:r>
        <w:lastRenderedPageBreak/>
        <w:t>más tienen más reciben. Sus hallazgos advierten que, si no se acompañan de políticas explícitas de equidad, las primeras olas de implementación masiva de la IA educativa pueden reforzar y consolidar las brechas existentes, beneficiando sobre todo a las instituciones con mejor infraestructura y mayor capital tecnológico. A ello se suman dilemas éticos vinculados al sesgo, la opacidad de los sistemas y el riesgo de deshumanización de la experiencia educativa, especialmente cuando las decisiones automatizadas influyen en el acceso, la evaluación o las trayectorias académicas. En este sentido, diversas revisiones sistemáticas destacan que los sistemas de IA tienden a reproducir estereotipos y a ofrecer apoyos de menor calidad a los estudiantes de contextos desfavorecidos, lo que amplifica la desigualdad.</w:t>
      </w:r>
    </w:p>
    <w:p w14:paraId="711E75DF" w14:textId="77777777" w:rsidR="002A0799" w:rsidRDefault="00000000">
      <w:pPr>
        <w:spacing w:after="160" w:line="360" w:lineRule="auto"/>
        <w:ind w:firstLine="720"/>
        <w:jc w:val="both"/>
      </w:pPr>
      <w:r>
        <w:t>La pregunta central ya no es si la IA debe incorporarse o no a la educación, sino cómo se manifiestan la desigualdad social y el acceso a la IA en las implicaciones educativas del siglo XXI y bajo qué condiciones estas tecnologías pueden democratizar efectivamente el aprendizaje. Para responderla, resulta necesario examinar los efectos de la brecha digital y los modelos pedagógicos que orientan el uso de la IA.</w:t>
      </w:r>
    </w:p>
    <w:p w14:paraId="76A33136" w14:textId="77777777" w:rsidR="002A0799" w:rsidRDefault="00000000">
      <w:pPr>
        <w:spacing w:after="160" w:line="360" w:lineRule="auto"/>
        <w:ind w:firstLine="720"/>
        <w:jc w:val="both"/>
      </w:pPr>
      <w:r>
        <w:t>Se propone analizar estas interacciones desde una perspectiva crítica, enfatizando los mecanismos por los cuales la IA puede tanto mitigar como profundizar las desigualdades educativas, así como las estrategias requeridas para avanzar hacia una integración más justa, inclusiva y éticamente responsable.</w:t>
      </w:r>
    </w:p>
    <w:p w14:paraId="6DA3D5C2" w14:textId="77777777" w:rsidR="002A0799" w:rsidRDefault="00000000">
      <w:pPr>
        <w:spacing w:after="160" w:line="360" w:lineRule="auto"/>
        <w:ind w:firstLine="720"/>
        <w:jc w:val="both"/>
      </w:pPr>
      <w:r>
        <w:t>En efecto, la inteligencia artificial no es neutral: su diseño, entrenamiento y aplicación pueden incorporar sesgos derivados de los datos y de las estructuras sociales en las que se desarrollan. Así, lejos de reducir las desigualdades, estas tecnologías pueden reforzarlas, favoreciendo a los sectores con mayor acceso a recursos tecnológicos, capital socioeconómico y competencias digitales, y marginando a las poblaciones vulnerables. En pocas palabras, esta situación plantea una tensión fundamental: las mismas herramientas que prometen democratizar la educación pueden consolidar nuevas formas de exclusión y segregación.</w:t>
      </w:r>
    </w:p>
    <w:p w14:paraId="414C581B" w14:textId="43B52514" w:rsidR="002A0799" w:rsidRDefault="002A0799">
      <w:pPr>
        <w:spacing w:after="80"/>
        <w:jc w:val="center"/>
      </w:pPr>
    </w:p>
    <w:p w14:paraId="28DCDB8D" w14:textId="77777777" w:rsidR="002A0799" w:rsidRDefault="00000000">
      <w:pPr>
        <w:keepNext/>
        <w:spacing w:before="480" w:after="160" w:line="360" w:lineRule="auto"/>
        <w:jc w:val="center"/>
      </w:pPr>
      <w:r>
        <w:rPr>
          <w:b/>
        </w:rPr>
        <w:lastRenderedPageBreak/>
        <w:t>Desarrollo</w:t>
      </w:r>
    </w:p>
    <w:p w14:paraId="3BDF7E99" w14:textId="77777777" w:rsidR="002A0799" w:rsidRDefault="00000000">
      <w:pPr>
        <w:spacing w:after="160" w:line="360" w:lineRule="auto"/>
        <w:ind w:firstLine="720"/>
        <w:jc w:val="both"/>
      </w:pPr>
      <w:r>
        <w:t>La integración de la inteligencia artificial en el ámbito educativo no debe entenderse como un proceso homogéneo ni neutral, sino como un fenómeno que se inserta en estructuras sociales previamente marcadas por profundas desigualdades. En este sentido, aunque la IA ofrece herramientas innovadoras para personalizar el aprendizaje, ajustar ritmos educativos y proporcionar retroalimentación inmediata, su impacto real depende en gran medida de las condiciones materiales y sociales en las que se implementa. Diversos sistemas basados en IA han demostrado su capacidad para mejorar la experiencia educativa mediante plataformas adaptativas que responden a las necesidades individuales del estudiantado. Estas tecnologías ayudan a identificar dificultades específicas, reforzar contenidos y promover trayectorias de aprendizaje más flexibles, lo cual resulta especialmente valioso para la labor docente. A pesar de ello, este potencial se ve limitado cuando se enfrenta a la persistencia de brechas digitales, como el acceso desigual a dispositivos, la conectividad de calidad y las competencias digitales, tanto en estudiantes como en docentes.</w:t>
      </w:r>
    </w:p>
    <w:p w14:paraId="37FB7EE4" w14:textId="77777777" w:rsidR="002A0799" w:rsidRDefault="00000000">
      <w:pPr>
        <w:spacing w:after="160" w:line="360" w:lineRule="auto"/>
        <w:ind w:firstLine="720"/>
        <w:jc w:val="both"/>
      </w:pPr>
      <w:r>
        <w:t>Es fundamental considerar el papel del docente en este proceso, pues la implementación de la IA no implica la sustitución del profesorado, sino una transformación de su rol hacia el de mediador, orientador y facilitador del aprendizaje. Esta transición, sin embargo, requiere una formación específica en competencias digitales y pedagógicas que no siempre está garantizada. La falta de capacitación docente puede generar un uso superficial o ineficaz de estas tecnologías, lo que reduce su potencial transformador.</w:t>
      </w:r>
    </w:p>
    <w:p w14:paraId="463FBE4E" w14:textId="77777777" w:rsidR="002A0799" w:rsidRDefault="00000000">
      <w:pPr>
        <w:keepNext/>
        <w:spacing w:before="480" w:after="160" w:line="360" w:lineRule="auto"/>
        <w:jc w:val="center"/>
      </w:pPr>
      <w:r>
        <w:rPr>
          <w:b/>
        </w:rPr>
        <w:t>Discusión</w:t>
      </w:r>
    </w:p>
    <w:p w14:paraId="16748922" w14:textId="77777777" w:rsidR="002A0799" w:rsidRDefault="00000000">
      <w:pPr>
        <w:spacing w:after="160" w:line="360" w:lineRule="auto"/>
        <w:ind w:firstLine="720"/>
        <w:jc w:val="both"/>
      </w:pPr>
      <w:r>
        <w:t>El debate en torno a la inteligencia artificial en la educación no se limita a sus posibilidades técnicas, sino que plantea una cuestión fundamental: ¿puede la tecnología, por sí misma, democratizar el conocimiento o, por el contrario, contribuye a reforzar las dinámicas de exclusión existentes? Este interrogante obliga a adoptar una perspectiva crítica que reconozca tanto los beneficios potenciales como los riesgos asociados a su implementación.</w:t>
      </w:r>
    </w:p>
    <w:p w14:paraId="0FBDAC2E" w14:textId="77777777" w:rsidR="002A0799" w:rsidRDefault="00000000">
      <w:pPr>
        <w:spacing w:after="160" w:line="360" w:lineRule="auto"/>
        <w:ind w:firstLine="720"/>
        <w:jc w:val="both"/>
      </w:pPr>
      <w:r>
        <w:t xml:space="preserve">Por un lado, es innegable que la IA puede contribuir a la democratización del aprendizaje si se implementa en condiciones adecuadas. Cuando existen políticas públicas orientadas a </w:t>
      </w:r>
      <w:r>
        <w:lastRenderedPageBreak/>
        <w:t>garantizar el acceso equitativo a la tecnología, programas de formación docente y estrategias pedagógicas inclusivas, la IA puede convertirse en una herramienta poderosa para reducir las brechas educativas. En estos escenarios, las tecnologías inteligentes permiten ampliar oportunidades, diversificar los métodos de enseñanza y atender de manera más efectiva la diversidad del estudiantado.</w:t>
      </w:r>
    </w:p>
    <w:p w14:paraId="7A83177B" w14:textId="77777777" w:rsidR="002A0799" w:rsidRDefault="00000000">
      <w:pPr>
        <w:spacing w:after="160" w:line="360" w:lineRule="auto"/>
        <w:ind w:firstLine="720"/>
        <w:jc w:val="both"/>
      </w:pPr>
      <w:r>
        <w:t>Sin embargo, en ausencia de estas condiciones, los riesgos son significativos. La IA no es un sistema neutral; sus algoritmos se diseñan a partir de datos que pueden reflejar sesgos sociales, culturales y económicos. Esto implica que las decisiones automatizadas, como la evaluación del rendimiento o la recomendación de contenidos, pueden reproducir estereotipos y generar desigualdades en la calidad de los apoyos educativos.</w:t>
      </w:r>
    </w:p>
    <w:p w14:paraId="1735A934" w14:textId="77777777" w:rsidR="002A0799" w:rsidRDefault="00000000">
      <w:pPr>
        <w:spacing w:after="160" w:line="360" w:lineRule="auto"/>
        <w:ind w:firstLine="720"/>
        <w:jc w:val="both"/>
      </w:pPr>
      <w:r>
        <w:t>Además, la opacidad de muchos sistemas dificulta comprender cómo se toman esas decisiones, lo que plantea importantes desafíos éticos en términos de transparencia y responsabilidad.</w:t>
      </w:r>
    </w:p>
    <w:p w14:paraId="00A8F1E8" w14:textId="77777777" w:rsidR="002A0799" w:rsidRDefault="00000000">
      <w:pPr>
        <w:spacing w:after="160" w:line="360" w:lineRule="auto"/>
        <w:ind w:firstLine="720"/>
        <w:jc w:val="both"/>
      </w:pPr>
      <w:r>
        <w:t>Otro aspecto crítico es el riesgo de deshumanización de la educación. Si bien la IA puede optimizar procesos y facilitar el acceso a la información, una dependencia excesiva de estas tecnologías podría reducir la interacción humana, elemento fundamental del proceso educativo. La relación entre docente y estudiante no solo implica la transmisión de conocimientos, sino también el desarrollo de habilidades socioemocionales, pensamiento crítico y valores éticos. En este sentido, el uso acrítico de la IA —por ejemplo, para resumir contenidos o automatizar tareas cognitivas complejas— puede afectar la profundidad del aprendizaje y limitar la capacidad reflexiva del estudiantado.</w:t>
      </w:r>
    </w:p>
    <w:p w14:paraId="6C5505BB" w14:textId="77777777" w:rsidR="002A0799" w:rsidRDefault="00000000">
      <w:pPr>
        <w:spacing w:after="160" w:line="360" w:lineRule="auto"/>
        <w:ind w:firstLine="720"/>
        <w:jc w:val="both"/>
      </w:pPr>
      <w:r>
        <w:t>Frente a este panorama, resulta necesario replantear el enfoque desde el cual se integra la IA en la educación. Más que priorizar la eficiencia o la innovación tecnológica, se debe apostar por modelos pedagógicos que sitúen la equidad, la inclusión y la ética en el centro. Esto implica desarrollar marcos regulatorios que supervisen el uso de los algoritmos, garantizar la formación en competencias digitales críticas y promover una distribución más justa de los recursos tecnológicos.</w:t>
      </w:r>
    </w:p>
    <w:p w14:paraId="14C9B679" w14:textId="77777777" w:rsidR="002A0799" w:rsidRDefault="00000000">
      <w:pPr>
        <w:spacing w:after="160" w:line="360" w:lineRule="auto"/>
        <w:ind w:firstLine="720"/>
        <w:jc w:val="both"/>
      </w:pPr>
      <w:r>
        <w:t xml:space="preserve">En última instancia, la discusión no debe centrarse únicamente en la tecnología en sí misma, sino en las condiciones sociales, políticas y educativas que determinan su impacto. La IA </w:t>
      </w:r>
      <w:r>
        <w:lastRenderedPageBreak/>
        <w:t>puede ser tanto una herramienta de transformación como un mecanismo de exclusión, dependiendo de cómo y para quién se utilice.</w:t>
      </w:r>
    </w:p>
    <w:p w14:paraId="1969EF64" w14:textId="77777777" w:rsidR="002A0799" w:rsidRDefault="00000000">
      <w:pPr>
        <w:keepNext/>
        <w:spacing w:before="480" w:after="160" w:line="360" w:lineRule="auto"/>
        <w:jc w:val="center"/>
      </w:pPr>
      <w:r>
        <w:rPr>
          <w:b/>
        </w:rPr>
        <w:t>Conclusiones</w:t>
      </w:r>
    </w:p>
    <w:p w14:paraId="101181FC" w14:textId="77777777" w:rsidR="002A0799" w:rsidRDefault="00000000">
      <w:pPr>
        <w:spacing w:after="160" w:line="360" w:lineRule="auto"/>
        <w:ind w:firstLine="720"/>
        <w:jc w:val="both"/>
      </w:pPr>
      <w:r>
        <w:t>El análisis desarrollado permite afirmar que la IA puede tanto mitigar como profundizar las desigualdades educativas, según las condiciones en las que se implemente. En contextos donde persisten las brechas digitales, la falta de infraestructura tecnológica y la escasa formación en competencias digitales, estas herramientas tienden a beneficiar principalmente a los sectores más favorecidos, lo que reproduce el denominado “efecto Mateo”. De esta manera, la democratización del aprendizaje a través de la inteligencia artificial no depende únicamente del desarrollo tecnológico, sino de un compromiso ético, social y político orientado a garantizar el acceso universal y el uso responsable de estas herramientas.</w:t>
      </w:r>
    </w:p>
    <w:p w14:paraId="0AB44BEF" w14:textId="77777777" w:rsidR="002A0799" w:rsidRDefault="00000000">
      <w:pPr>
        <w:spacing w:after="160" w:line="360" w:lineRule="auto"/>
        <w:ind w:firstLine="720"/>
        <w:jc w:val="both"/>
      </w:pPr>
      <w:r>
        <w:t>Es fundamental reconocer que la tecnología no es neutral y que su impacto está condicionado por las estructuras sociales en las que se inserta.</w:t>
      </w:r>
    </w:p>
    <w:p w14:paraId="41D1C9D2" w14:textId="77777777" w:rsidR="002A0799" w:rsidRDefault="00000000">
      <w:pPr>
        <w:spacing w:after="160" w:line="360" w:lineRule="auto"/>
        <w:ind w:firstLine="720"/>
        <w:jc w:val="both"/>
      </w:pPr>
      <w:r>
        <w:t>El desafío no radica en decidir si la IA debe formar parte de la educación, sino en definir cómo integrarla de manera que promueva una educación verdaderamente inclusiva, crítica y humanizada. Si no se abordan de forma consciente las desigualdades estructurales, la IA corre el riesgo de convertirse en un amplificador de las brechas existentes; en cambio, si se implementa bajo principios de equidad y justicia social, puede constituir una herramienta clave para transformar la educación y reducir las desigualdades históricas que han limitado el acceso al conocimiento.</w:t>
      </w:r>
    </w:p>
    <w:p w14:paraId="28384765" w14:textId="7A43F33A" w:rsidR="002A0799" w:rsidRDefault="002A0799">
      <w:pPr>
        <w:spacing w:after="80"/>
        <w:jc w:val="center"/>
      </w:pPr>
    </w:p>
    <w:p w14:paraId="1217B9D2" w14:textId="1BD6DF06" w:rsidR="002A0799" w:rsidRDefault="002A0799">
      <w:pPr>
        <w:spacing w:after="80"/>
        <w:jc w:val="center"/>
      </w:pPr>
    </w:p>
    <w:p w14:paraId="334075BF" w14:textId="77777777" w:rsidR="002A0799" w:rsidRDefault="002A0799">
      <w:pPr>
        <w:pageBreakBefore/>
      </w:pPr>
    </w:p>
    <w:p w14:paraId="4AF1ECAA" w14:textId="77777777" w:rsidR="002A0799" w:rsidRPr="00125A2C" w:rsidRDefault="00000000">
      <w:pPr>
        <w:spacing w:before="480" w:after="160" w:line="360" w:lineRule="auto"/>
        <w:jc w:val="center"/>
        <w:rPr>
          <w:lang w:val="en-US"/>
        </w:rPr>
      </w:pPr>
      <w:r w:rsidRPr="00125A2C">
        <w:rPr>
          <w:b/>
          <w:lang w:val="en-US"/>
        </w:rPr>
        <w:t>REFERENCIAS</w:t>
      </w:r>
    </w:p>
    <w:p w14:paraId="3E110C27" w14:textId="77777777" w:rsidR="002A0799" w:rsidRPr="00125A2C" w:rsidRDefault="00000000">
      <w:pPr>
        <w:spacing w:after="160" w:line="360" w:lineRule="auto"/>
        <w:ind w:left="720" w:hanging="720"/>
        <w:jc w:val="both"/>
        <w:rPr>
          <w:lang w:val="en-US"/>
        </w:rPr>
      </w:pPr>
      <w:r w:rsidRPr="00125A2C">
        <w:rPr>
          <w:lang w:val="en-US"/>
        </w:rPr>
        <w:t>Holmes, W. (2021). Ethics of AI in education: Towards a community-wide framework. International Society for Technology in Education.</w:t>
      </w:r>
    </w:p>
    <w:p w14:paraId="2F0BF834" w14:textId="77777777" w:rsidR="002A0799" w:rsidRPr="00125A2C" w:rsidRDefault="00000000">
      <w:pPr>
        <w:spacing w:after="160" w:line="360" w:lineRule="auto"/>
        <w:ind w:left="720" w:hanging="720"/>
        <w:jc w:val="both"/>
        <w:rPr>
          <w:lang w:val="en-US"/>
        </w:rPr>
      </w:pPr>
      <w:r w:rsidRPr="00125A2C">
        <w:rPr>
          <w:lang w:val="en-US"/>
        </w:rPr>
        <w:t>Holmes, W., Bialik, M., &amp; Fadel, C. (2019). Artificial intelligence in education: Promises and implications for teaching and learning. Center for Curriculum Redesign.</w:t>
      </w:r>
    </w:p>
    <w:p w14:paraId="793DBA07" w14:textId="77777777" w:rsidR="002A0799" w:rsidRPr="00125A2C" w:rsidRDefault="00000000">
      <w:pPr>
        <w:spacing w:after="160" w:line="360" w:lineRule="auto"/>
        <w:ind w:left="720" w:hanging="720"/>
        <w:jc w:val="both"/>
        <w:rPr>
          <w:lang w:val="en-US"/>
        </w:rPr>
      </w:pPr>
      <w:r w:rsidRPr="00125A2C">
        <w:rPr>
          <w:lang w:val="en-US"/>
        </w:rPr>
        <w:t>Luckin, R. (2018). Machine learning and human intelligence: The future of education for the 21st century. UCL Institute of Education Press.</w:t>
      </w:r>
    </w:p>
    <w:p w14:paraId="5016A843" w14:textId="77777777" w:rsidR="002A0799" w:rsidRDefault="00000000">
      <w:pPr>
        <w:spacing w:after="160" w:line="360" w:lineRule="auto"/>
        <w:ind w:left="720" w:hanging="720"/>
        <w:jc w:val="both"/>
      </w:pPr>
      <w:r w:rsidRPr="00125A2C">
        <w:rPr>
          <w:lang w:val="en-US"/>
        </w:rPr>
        <w:t xml:space="preserve">Selwyn, N. (2020). Should robots replace teachers? AI and the future of education. </w:t>
      </w:r>
      <w:proofErr w:type="spellStart"/>
      <w:r>
        <w:t>Polity</w:t>
      </w:r>
      <w:proofErr w:type="spellEnd"/>
      <w:r>
        <w:t xml:space="preserve"> Press.</w:t>
      </w:r>
    </w:p>
    <w:p w14:paraId="1041E6CA" w14:textId="77777777" w:rsidR="002A0799" w:rsidRDefault="00000000">
      <w:pPr>
        <w:spacing w:after="160" w:line="360" w:lineRule="auto"/>
        <w:ind w:left="720" w:hanging="720"/>
        <w:jc w:val="both"/>
      </w:pPr>
      <w:r>
        <w:t>UNESCO. (2021). Inteligencia artificial y educación: guía para responsables de políticas. UNESCO.</w:t>
      </w:r>
    </w:p>
    <w:p w14:paraId="4B3F7BB2" w14:textId="77777777" w:rsidR="002A0799" w:rsidRDefault="00000000">
      <w:pPr>
        <w:spacing w:after="160" w:line="360" w:lineRule="auto"/>
        <w:ind w:left="720" w:hanging="720"/>
        <w:jc w:val="both"/>
      </w:pPr>
      <w:r>
        <w:t xml:space="preserve">UNESCO. (2024). Artificial </w:t>
      </w:r>
      <w:proofErr w:type="spellStart"/>
      <w:r>
        <w:t>intelligence</w:t>
      </w:r>
      <w:proofErr w:type="spellEnd"/>
      <w:r>
        <w:t xml:space="preserve"> in </w:t>
      </w:r>
      <w:proofErr w:type="spellStart"/>
      <w:r>
        <w:t>education</w:t>
      </w:r>
      <w:proofErr w:type="spellEnd"/>
      <w:r>
        <w:t xml:space="preserve">: Global </w:t>
      </w:r>
      <w:proofErr w:type="spellStart"/>
      <w:r>
        <w:t>report</w:t>
      </w:r>
      <w:proofErr w:type="spellEnd"/>
      <w:r>
        <w:t xml:space="preserve"> 2024. UNESCO.</w:t>
      </w:r>
    </w:p>
    <w:sectPr w:rsidR="002A079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307EA" w14:textId="77777777" w:rsidR="00627628" w:rsidRDefault="00627628">
      <w:r>
        <w:separator/>
      </w:r>
    </w:p>
  </w:endnote>
  <w:endnote w:type="continuationSeparator" w:id="0">
    <w:p w14:paraId="19394FBF" w14:textId="77777777" w:rsidR="00627628" w:rsidRDefault="00627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ED90" w14:textId="77777777" w:rsidR="00627628" w:rsidRDefault="00627628">
      <w:r>
        <w:separator/>
      </w:r>
    </w:p>
  </w:footnote>
  <w:footnote w:type="continuationSeparator" w:id="0">
    <w:p w14:paraId="32EE131A" w14:textId="77777777" w:rsidR="00627628" w:rsidRDefault="00627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1BF6" w14:textId="77777777" w:rsidR="002A0799" w:rsidRDefault="00000000">
    <w:pPr>
      <w:tabs>
        <w:tab w:val="right" w:pos="9026"/>
      </w:tabs>
    </w:pPr>
    <w:r>
      <w:rPr>
        <w:caps/>
        <w:sz w:val="20"/>
        <w:szCs w:val="20"/>
      </w:rPr>
      <w:t>DESIGUALDAD SOCIAL Y ACCESO A LA INTELIGENCIA ARTIFICIAL</w:t>
    </w:r>
    <w:r>
      <w:tab/>
    </w:r>
    <w:r>
      <w:rPr>
        <w:sz w:val="20"/>
        <w:szCs w:val="20"/>
      </w:rPr>
      <w:fldChar w:fldCharType="begin"/>
    </w:r>
    <w:r>
      <w:rPr>
        <w:sz w:val="20"/>
        <w:szCs w:val="20"/>
      </w:rPr>
      <w:instrText>PAGE</w:instrText>
    </w:r>
    <w:r>
      <w:rPr>
        <w:sz w:val="20"/>
        <w:szCs w:val="20"/>
      </w:rPr>
      <w:fldChar w:fldCharType="separate"/>
    </w:r>
    <w:r w:rsidR="00125A2C">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61E90"/>
    <w:multiLevelType w:val="hybridMultilevel"/>
    <w:tmpl w:val="48B0E6D2"/>
    <w:lvl w:ilvl="0" w:tplc="895C2914">
      <w:start w:val="1"/>
      <w:numFmt w:val="bullet"/>
      <w:lvlText w:val="●"/>
      <w:lvlJc w:val="left"/>
      <w:pPr>
        <w:ind w:left="720" w:hanging="360"/>
      </w:pPr>
    </w:lvl>
    <w:lvl w:ilvl="1" w:tplc="6E6236C6">
      <w:start w:val="1"/>
      <w:numFmt w:val="bullet"/>
      <w:lvlText w:val="○"/>
      <w:lvlJc w:val="left"/>
      <w:pPr>
        <w:ind w:left="1440" w:hanging="360"/>
      </w:pPr>
    </w:lvl>
    <w:lvl w:ilvl="2" w:tplc="ACF25028">
      <w:start w:val="1"/>
      <w:numFmt w:val="bullet"/>
      <w:lvlText w:val="■"/>
      <w:lvlJc w:val="left"/>
      <w:pPr>
        <w:ind w:left="2160" w:hanging="360"/>
      </w:pPr>
    </w:lvl>
    <w:lvl w:ilvl="3" w:tplc="8E827A7E">
      <w:start w:val="1"/>
      <w:numFmt w:val="bullet"/>
      <w:lvlText w:val="●"/>
      <w:lvlJc w:val="left"/>
      <w:pPr>
        <w:ind w:left="2880" w:hanging="360"/>
      </w:pPr>
    </w:lvl>
    <w:lvl w:ilvl="4" w:tplc="CF86068E">
      <w:start w:val="1"/>
      <w:numFmt w:val="bullet"/>
      <w:lvlText w:val="○"/>
      <w:lvlJc w:val="left"/>
      <w:pPr>
        <w:ind w:left="3600" w:hanging="360"/>
      </w:pPr>
    </w:lvl>
    <w:lvl w:ilvl="5" w:tplc="BDCA6DCA">
      <w:start w:val="1"/>
      <w:numFmt w:val="bullet"/>
      <w:lvlText w:val="■"/>
      <w:lvlJc w:val="left"/>
      <w:pPr>
        <w:ind w:left="4320" w:hanging="360"/>
      </w:pPr>
    </w:lvl>
    <w:lvl w:ilvl="6" w:tplc="71206378">
      <w:start w:val="1"/>
      <w:numFmt w:val="bullet"/>
      <w:lvlText w:val="●"/>
      <w:lvlJc w:val="left"/>
      <w:pPr>
        <w:ind w:left="5040" w:hanging="360"/>
      </w:pPr>
    </w:lvl>
    <w:lvl w:ilvl="7" w:tplc="5708566C">
      <w:start w:val="1"/>
      <w:numFmt w:val="bullet"/>
      <w:lvlText w:val="●"/>
      <w:lvlJc w:val="left"/>
      <w:pPr>
        <w:ind w:left="5760" w:hanging="360"/>
      </w:pPr>
    </w:lvl>
    <w:lvl w:ilvl="8" w:tplc="C088CEE8">
      <w:start w:val="1"/>
      <w:numFmt w:val="bullet"/>
      <w:lvlText w:val="●"/>
      <w:lvlJc w:val="left"/>
      <w:pPr>
        <w:ind w:left="6480" w:hanging="360"/>
      </w:pPr>
    </w:lvl>
  </w:abstractNum>
  <w:num w:numId="1" w16cid:durableId="961108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99"/>
    <w:rsid w:val="00125A2C"/>
    <w:rsid w:val="002A0799"/>
    <w:rsid w:val="00627628"/>
    <w:rsid w:val="00E95A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215C"/>
  <w15:docId w15:val="{9E56DBF7-B72D-4127-9E72-09767BB8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2027</Words>
  <Characters>11150</Characters>
  <Application>Microsoft Office Word</Application>
  <DocSecurity>0</DocSecurity>
  <Lines>92</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Briones</cp:lastModifiedBy>
  <cp:revision>2</cp:revision>
  <dcterms:created xsi:type="dcterms:W3CDTF">2026-04-06T16:07:00Z</dcterms:created>
  <dcterms:modified xsi:type="dcterms:W3CDTF">2026-10-14T14:57:00Z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21ba4ea52730984afd6d6bde6bc1e316b47d116e1101e2c79c51830187015481</vt:lpwstr>
  </property>
</Properties>
</file>