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99" w:type="dxa"/>
        <w:tblInd w:w="-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9888"/>
      </w:tblGrid>
      <w:tr w:rsidR="00E258BE" w:rsidRPr="00C42DB9" w14:paraId="28C9ED8F" w14:textId="77777777" w:rsidTr="00F60611">
        <w:trPr>
          <w:tblHeader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AFFF" w14:textId="77777777" w:rsidR="00E258BE" w:rsidRPr="00C42DB9" w:rsidRDefault="00E258BE" w:rsidP="00F60611">
            <w:pPr>
              <w:spacing w:after="0"/>
              <w:rPr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>Tipo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B803" w14:textId="77777777" w:rsidR="00E258BE" w:rsidRPr="00C42DB9" w:rsidRDefault="00E258BE" w:rsidP="00F60611">
            <w:pPr>
              <w:spacing w:after="0"/>
              <w:rPr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 xml:space="preserve">Nombre </w:t>
            </w:r>
          </w:p>
        </w:tc>
      </w:tr>
      <w:tr w:rsidR="00E258BE" w:rsidRPr="00B37E60" w14:paraId="2A60AC8B" w14:textId="77777777" w:rsidTr="00F60611"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4FB4" w14:textId="77777777" w:rsidR="00E258BE" w:rsidRPr="00C42DB9" w:rsidRDefault="00E258BE" w:rsidP="00E258BE">
            <w:pPr>
              <w:rPr>
                <w:b/>
                <w:bCs/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>Científico con IMRyD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948A" w14:textId="77777777" w:rsidR="00313ABB" w:rsidRPr="00C42DB9" w:rsidRDefault="00D576AA" w:rsidP="006A3B78">
            <w:pPr>
              <w:pStyle w:val="NormalWeb"/>
              <w:numPr>
                <w:ilvl w:val="0"/>
                <w:numId w:val="2"/>
              </w:numPr>
              <w:spacing w:after="0" w:afterAutospacing="0"/>
              <w:ind w:left="433"/>
              <w:rPr>
                <w:sz w:val="20"/>
                <w:szCs w:val="20"/>
                <w:lang w:val="es-AR"/>
              </w:rPr>
            </w:pPr>
            <w:r w:rsidRPr="00C42DB9">
              <w:rPr>
                <w:sz w:val="20"/>
                <w:szCs w:val="20"/>
                <w:lang w:val="es-AR"/>
              </w:rPr>
              <w:t xml:space="preserve">Cano-Martínez, J. J. (2022). Prospectiva de ciberseguridad nacional para Colombia a 2030.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Revista Científica General José María Córdova</w:t>
            </w:r>
            <w:r w:rsidRPr="00C42DB9">
              <w:rPr>
                <w:sz w:val="20"/>
                <w:szCs w:val="20"/>
                <w:lang w:val="es-AR"/>
              </w:rPr>
              <w:t xml:space="preserve">,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20</w:t>
            </w:r>
            <w:r w:rsidRPr="00C42DB9">
              <w:rPr>
                <w:sz w:val="20"/>
                <w:szCs w:val="20"/>
                <w:lang w:val="es-AR"/>
              </w:rPr>
              <w:t xml:space="preserve">(40), 815–832. </w:t>
            </w:r>
            <w:hyperlink r:id="rId5" w:history="1">
              <w:r w:rsidRPr="00C42DB9">
                <w:rPr>
                  <w:rStyle w:val="Hipervnculo"/>
                  <w:sz w:val="20"/>
                  <w:szCs w:val="20"/>
                  <w:lang w:val="es-AR"/>
                </w:rPr>
                <w:t>https://doi.org/10.21830/19006586.866</w:t>
              </w:r>
            </w:hyperlink>
          </w:p>
          <w:p w14:paraId="0C116781" w14:textId="77777777" w:rsidR="00F60611" w:rsidRDefault="00D576AA" w:rsidP="006A3B78">
            <w:pPr>
              <w:pStyle w:val="NormalWeb"/>
              <w:spacing w:before="0" w:beforeAutospacing="0" w:after="0" w:afterAutospacing="0"/>
              <w:ind w:left="433"/>
              <w:jc w:val="right"/>
              <w:rPr>
                <w:rStyle w:val="nfasis"/>
                <w:color w:val="C00000"/>
                <w:sz w:val="18"/>
                <w:szCs w:val="18"/>
                <w:lang w:val="es-AR"/>
              </w:rPr>
            </w:pPr>
            <w:r w:rsidRPr="0033789C">
              <w:rPr>
                <w:rStyle w:val="nfasis"/>
                <w:color w:val="C00000"/>
                <w:sz w:val="18"/>
                <w:szCs w:val="18"/>
                <w:lang w:val="es-AR"/>
              </w:rPr>
              <w:t>Línea 4: Dinámica de los conflictos en el ciberespacio</w:t>
            </w:r>
          </w:p>
          <w:p w14:paraId="04AA8165" w14:textId="46B79664" w:rsidR="00313ABB" w:rsidRPr="00C42DB9" w:rsidRDefault="00D576AA" w:rsidP="006A3B7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33"/>
              <w:rPr>
                <w:sz w:val="20"/>
                <w:szCs w:val="20"/>
                <w:lang w:val="es-AR"/>
              </w:rPr>
            </w:pPr>
            <w:r w:rsidRPr="00C42DB9">
              <w:rPr>
                <w:sz w:val="20"/>
                <w:szCs w:val="20"/>
                <w:lang w:val="es-AR"/>
              </w:rPr>
              <w:t xml:space="preserve">Martínez-García, I., &amp; Ardila-Castro, C. A. (2023). Las competencias en investigación formativa en los programas de la Escuela Superior de Guerra.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Revista Científica General José María Córdova</w:t>
            </w:r>
            <w:r w:rsidRPr="00C42DB9">
              <w:rPr>
                <w:sz w:val="20"/>
                <w:szCs w:val="20"/>
                <w:lang w:val="es-AR"/>
              </w:rPr>
              <w:t xml:space="preserve">,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21</w:t>
            </w:r>
            <w:r w:rsidRPr="00C42DB9">
              <w:rPr>
                <w:sz w:val="20"/>
                <w:szCs w:val="20"/>
                <w:lang w:val="es-AR"/>
              </w:rPr>
              <w:t xml:space="preserve">(42), 477–499. </w:t>
            </w:r>
            <w:hyperlink r:id="rId6" w:history="1">
              <w:r w:rsidRPr="00C42DB9">
                <w:rPr>
                  <w:rStyle w:val="Hipervnculo"/>
                  <w:sz w:val="20"/>
                  <w:szCs w:val="20"/>
                  <w:lang w:val="es-AR"/>
                </w:rPr>
                <w:t>https://doi.org/10.21830/19006586.1077</w:t>
              </w:r>
            </w:hyperlink>
          </w:p>
          <w:p w14:paraId="4719F2C3" w14:textId="77777777" w:rsidR="00F60611" w:rsidRDefault="00D576AA" w:rsidP="006A3B78">
            <w:pPr>
              <w:pStyle w:val="NormalWeb"/>
              <w:spacing w:before="0" w:beforeAutospacing="0" w:after="0" w:afterAutospacing="0"/>
              <w:ind w:left="433"/>
              <w:jc w:val="right"/>
              <w:rPr>
                <w:rStyle w:val="nfasis"/>
                <w:color w:val="C00000"/>
                <w:sz w:val="18"/>
                <w:szCs w:val="18"/>
                <w:lang w:val="es-AR"/>
              </w:rPr>
            </w:pPr>
            <w:r w:rsidRPr="0033789C">
              <w:rPr>
                <w:rStyle w:val="nfasis"/>
                <w:color w:val="C00000"/>
                <w:sz w:val="18"/>
                <w:szCs w:val="18"/>
                <w:lang w:val="es-AR"/>
              </w:rPr>
              <w:t>Línea 3: Recursos humanos para la defensa</w:t>
            </w:r>
          </w:p>
          <w:p w14:paraId="5E97BB3C" w14:textId="78CC0CF4" w:rsidR="00313ABB" w:rsidRPr="00C42DB9" w:rsidRDefault="00D576AA" w:rsidP="006A3B7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33"/>
              <w:rPr>
                <w:sz w:val="20"/>
                <w:szCs w:val="20"/>
                <w:lang w:val="es-AR"/>
              </w:rPr>
            </w:pPr>
            <w:r w:rsidRPr="00C42DB9">
              <w:rPr>
                <w:sz w:val="20"/>
                <w:szCs w:val="20"/>
                <w:lang w:val="es-AR"/>
              </w:rPr>
              <w:t xml:space="preserve">Velandia-Pardo, E. F., &amp; Betancur-Montoya, M. A. (2025). Estudio bibliométrico sobre relaciones civiles-militares en América Latina en los últimos 30 años.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Revista Científica General José María Córdova</w:t>
            </w:r>
            <w:r w:rsidRPr="00C42DB9">
              <w:rPr>
                <w:sz w:val="20"/>
                <w:szCs w:val="20"/>
                <w:lang w:val="es-AR"/>
              </w:rPr>
              <w:t xml:space="preserve">, </w:t>
            </w:r>
            <w:r w:rsidRPr="00C42DB9">
              <w:rPr>
                <w:rStyle w:val="nfasis"/>
                <w:sz w:val="20"/>
                <w:szCs w:val="20"/>
                <w:lang w:val="es-AR"/>
              </w:rPr>
              <w:t>23</w:t>
            </w:r>
            <w:r w:rsidRPr="00C42DB9">
              <w:rPr>
                <w:sz w:val="20"/>
                <w:szCs w:val="20"/>
                <w:lang w:val="es-AR"/>
              </w:rPr>
              <w:t xml:space="preserve">(49), 167–184. </w:t>
            </w:r>
            <w:hyperlink r:id="rId7" w:history="1">
              <w:r w:rsidRPr="00C42DB9">
                <w:rPr>
                  <w:rStyle w:val="Hipervnculo"/>
                  <w:sz w:val="20"/>
                  <w:szCs w:val="20"/>
                  <w:lang w:val="es-AR"/>
                </w:rPr>
                <w:t>https://doi.org/10.21830/19006586.1415</w:t>
              </w:r>
            </w:hyperlink>
          </w:p>
          <w:p w14:paraId="7F8848E0" w14:textId="10323C5D" w:rsidR="00313ABB" w:rsidRPr="0033789C" w:rsidRDefault="00D576AA" w:rsidP="006A3B78">
            <w:pPr>
              <w:pStyle w:val="NormalWeb"/>
              <w:spacing w:before="0" w:beforeAutospacing="0"/>
              <w:ind w:left="433"/>
              <w:jc w:val="right"/>
              <w:rPr>
                <w:color w:val="C00000"/>
                <w:sz w:val="20"/>
                <w:szCs w:val="20"/>
                <w:lang w:val="es-AR"/>
              </w:rPr>
            </w:pPr>
            <w:r w:rsidRPr="0033789C">
              <w:rPr>
                <w:rStyle w:val="nfasis"/>
                <w:color w:val="C00000"/>
                <w:sz w:val="18"/>
                <w:szCs w:val="18"/>
                <w:lang w:val="es-AR"/>
              </w:rPr>
              <w:t>Línea 2: Estrategia, conflicto y política internacional</w:t>
            </w:r>
          </w:p>
        </w:tc>
      </w:tr>
      <w:tr w:rsidR="00E258BE" w:rsidRPr="00B37E60" w14:paraId="614DB973" w14:textId="77777777" w:rsidTr="00F60611"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0B04" w14:textId="77777777" w:rsidR="00E258BE" w:rsidRPr="00C42DB9" w:rsidRDefault="00E258BE" w:rsidP="00E258BE">
            <w:pPr>
              <w:rPr>
                <w:b/>
                <w:bCs/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 xml:space="preserve">Científico sin </w:t>
            </w:r>
            <w:proofErr w:type="spellStart"/>
            <w:r w:rsidRPr="00C42DB9">
              <w:rPr>
                <w:b/>
                <w:bCs/>
                <w:sz w:val="20"/>
                <w:szCs w:val="20"/>
                <w:lang w:val="es-AR"/>
              </w:rPr>
              <w:t>IMRyD</w:t>
            </w:r>
            <w:proofErr w:type="spellEnd"/>
            <w:r w:rsidRPr="00C42DB9">
              <w:rPr>
                <w:b/>
                <w:bCs/>
                <w:sz w:val="20"/>
                <w:szCs w:val="20"/>
                <w:lang w:val="es-AR"/>
              </w:rPr>
              <w:t xml:space="preserve"> (revisión, teórico)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6CF8" w14:textId="77777777" w:rsidR="00313ABB" w:rsidRPr="00F60611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Martínez, R., &amp; Bueno, A. (2024). Causas de la militarización de las emergencias civiles. </w:t>
            </w:r>
            <w:r w:rsidRPr="00F60611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Revista Científica General José María Córdova</w:t>
            </w: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</w:t>
            </w:r>
            <w:r w:rsidRPr="00F60611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22</w:t>
            </w: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(48), 903–924. </w:t>
            </w:r>
            <w:hyperlink r:id="rId8" w:history="1">
              <w:r w:rsidRPr="00F60611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https://doi.org/10.21830/19006586.1389</w:t>
              </w:r>
            </w:hyperlink>
          </w:p>
          <w:p w14:paraId="40A3FF92" w14:textId="77777777" w:rsidR="00F60611" w:rsidRDefault="00D576AA" w:rsidP="006A3B78">
            <w:pPr>
              <w:spacing w:after="0"/>
              <w:ind w:left="433"/>
              <w:jc w:val="right"/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</w:pPr>
            <w:r w:rsidRPr="009445E8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1: Ámbitos de conflicto y su interacción</w:t>
            </w:r>
          </w:p>
          <w:p w14:paraId="02704A87" w14:textId="40D82F86" w:rsidR="00313ABB" w:rsidRPr="00F60611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Soprano, G., &amp; </w:t>
            </w:r>
            <w:proofErr w:type="spellStart"/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>Tripolone</w:t>
            </w:r>
            <w:proofErr w:type="spellEnd"/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G. (2025). Fuerzas Armadas para qué. Concepciones castrenses sobre el empleo de la fuerza militar en Argentina en el siglo XXI. </w:t>
            </w:r>
            <w:r w:rsidRPr="00F60611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Revista Científica General José María Córdova</w:t>
            </w: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</w:t>
            </w:r>
            <w:r w:rsidRPr="00F60611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23</w:t>
            </w: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(49), 231–249. </w:t>
            </w:r>
            <w:hyperlink r:id="rId9" w:history="1">
              <w:r w:rsidRPr="00F60611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https://doi.org/10.21830/19006586.1435</w:t>
              </w:r>
            </w:hyperlink>
          </w:p>
          <w:p w14:paraId="28E7D0AC" w14:textId="77777777" w:rsidR="00313ABB" w:rsidRPr="007434E0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7434E0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2: Estrategia, conflicto y política internacional</w:t>
            </w:r>
          </w:p>
          <w:p w14:paraId="603D0FBB" w14:textId="77777777" w:rsidR="00313ABB" w:rsidRPr="00F60611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Vitti, J. G. (2022). Inteligencia Nacional Argentina: Funcionalidad y presupuesto. Sus impactos en la cultura de inteligencia (1989-2022). </w:t>
            </w:r>
            <w:r w:rsidRPr="00F60611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URVIO. Revista Latinoamericana de Estudios de Seguridad</w:t>
            </w:r>
            <w:r w:rsidRPr="00F60611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(34), 68–81. </w:t>
            </w:r>
            <w:hyperlink r:id="rId10" w:history="1">
              <w:r w:rsidRPr="00F60611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https://doi.org/10.17141/urvio.34.2022.5388</w:t>
              </w:r>
            </w:hyperlink>
          </w:p>
          <w:p w14:paraId="61464EE6" w14:textId="72428390" w:rsidR="00313ABB" w:rsidRPr="0067130E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67130E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6: Inteligencia en los diversos ámbitos de conflicto</w:t>
            </w:r>
          </w:p>
        </w:tc>
      </w:tr>
      <w:tr w:rsidR="00E258BE" w:rsidRPr="00B37E60" w14:paraId="3E9907E0" w14:textId="77777777" w:rsidTr="00F60611"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6031" w14:textId="77777777" w:rsidR="00E258BE" w:rsidRPr="00C42DB9" w:rsidRDefault="00E258BE" w:rsidP="00E258BE">
            <w:pPr>
              <w:rPr>
                <w:b/>
                <w:bCs/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>Divulgación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3BD3" w14:textId="77777777" w:rsidR="00313ABB" w:rsidRPr="006A3B78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Fajardo Mejía, M. G. (2025, 21 de julio). Agendas de paz y seguridad sin blindaje: Desafíos y oportunidades desde América Latina. </w:t>
            </w:r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Global </w:t>
            </w:r>
            <w:proofErr w:type="spellStart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Affairs</w:t>
            </w:r>
            <w:proofErr w:type="spellEnd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 and </w:t>
            </w:r>
            <w:proofErr w:type="spellStart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Strategic</w:t>
            </w:r>
            <w:proofErr w:type="spellEnd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Studies</w:t>
            </w:r>
            <w:proofErr w:type="spellEnd"/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, Universidad de Navarra</w:t>
            </w: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. </w:t>
            </w:r>
            <w:hyperlink r:id="rId11" w:history="1">
              <w:r w:rsidRPr="006A3B78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https://www.unav.edu/en/web/global-affairs/agendas-de-paz-y-seguridad-sin-blindaje-desafios-y-oportunidades-desde-america-latina</w:t>
              </w:r>
            </w:hyperlink>
          </w:p>
          <w:p w14:paraId="368EE997" w14:textId="77777777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2: Estrategia, conflicto y política internacional</w:t>
            </w:r>
          </w:p>
          <w:p w14:paraId="23A41AD4" w14:textId="77777777" w:rsidR="00313ABB" w:rsidRPr="00B37E60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</w:rPr>
            </w:pP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Fuentes, C. (2026, 19 de agosto). Estado de excepción de seguridad pública y la hipótesis de la guerra interna. </w:t>
            </w:r>
            <w:r w:rsidRPr="00B37E60">
              <w:rPr>
                <w:rStyle w:val="nfasis"/>
                <w:rFonts w:ascii="Times New Roman" w:hAnsi="Times New Roman" w:cs="Times New Roman"/>
                <w:sz w:val="20"/>
                <w:szCs w:val="20"/>
              </w:rPr>
              <w:t>CIPER Chile</w:t>
            </w:r>
            <w:r w:rsidRPr="00B37E6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" w:history="1">
              <w:r w:rsidRPr="00B37E60">
                <w:rPr>
                  <w:rStyle w:val="Hipervnculo"/>
                  <w:rFonts w:ascii="Times New Roman" w:hAnsi="Times New Roman" w:cs="Times New Roman"/>
                  <w:sz w:val="20"/>
                  <w:szCs w:val="20"/>
                </w:rPr>
                <w:t>https://www.ciperchile.cl/2026/08/19/estado-de-excepcion-de-seguridad-publica-y-la-hipotesis-de-la-guerra-interna/</w:t>
              </w:r>
            </w:hyperlink>
          </w:p>
          <w:p w14:paraId="69A5E9BD" w14:textId="77777777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 xml:space="preserve">Línea 1: Ámbitos de conflicto y su interacción | Línea 2: </w:t>
            </w: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Estrategia, conflicto y política internacional</w:t>
            </w:r>
          </w:p>
          <w:p w14:paraId="1D04F6BE" w14:textId="77777777" w:rsidR="00313ABB" w:rsidRPr="006A3B78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Mellafe, D. (2026, 28 de junio). El territorio digital del Estado tiene 915 puertas. Solo 16 tienen timbre. </w:t>
            </w:r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CIPER Chile</w:t>
            </w: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. </w:t>
            </w:r>
            <w:hyperlink r:id="rId13" w:history="1">
              <w:r w:rsidRPr="006A3B78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https://www.ciperchile.cl/2026/06/28/el-territorio-digital-del-estado-tiene-915-puertas-solo-16-tienen-timbre/</w:t>
              </w:r>
            </w:hyperlink>
          </w:p>
          <w:p w14:paraId="127C1E09" w14:textId="7CBE2BF6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4: Dinámica de los conflictos en el ciberespacio</w:t>
            </w:r>
          </w:p>
        </w:tc>
      </w:tr>
      <w:tr w:rsidR="00E258BE" w:rsidRPr="00B37E60" w14:paraId="138841BF" w14:textId="77777777" w:rsidTr="00F60611"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F698" w14:textId="77777777" w:rsidR="00E258BE" w:rsidRPr="00C42DB9" w:rsidRDefault="00E258BE" w:rsidP="00E258BE">
            <w:pPr>
              <w:rPr>
                <w:b/>
                <w:bCs/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>Opinión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CD02" w14:textId="77777777" w:rsidR="00313ABB" w:rsidRPr="006A3B78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proofErr w:type="spellStart"/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>Legaz</w:t>
            </w:r>
            <w:proofErr w:type="spellEnd"/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A. (2025, 17 de diciembre). ¿Por qué España es un objetivo cibernético? </w:t>
            </w:r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Agenda Pública</w:t>
            </w: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. </w:t>
            </w:r>
            <w:hyperlink r:id="rId14" w:history="1">
              <w:r w:rsidRPr="006A3B78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https://agendapublica.es/noticia/20481/qu-espana-es-objetivo-cibern-tico</w:t>
              </w:r>
            </w:hyperlink>
          </w:p>
          <w:p w14:paraId="364C8A83" w14:textId="77777777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4: Dinámica de los conflictos en el ciberespacio</w:t>
            </w:r>
          </w:p>
          <w:p w14:paraId="316A93B0" w14:textId="77777777" w:rsidR="00313ABB" w:rsidRPr="006A3B78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Spinelli, G. S. (2026). Una evaluación doctrinaria del poder marítimo contemporáneo. </w:t>
            </w:r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Boletín del Centro Naval</w:t>
            </w: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(867), 4–8. </w:t>
            </w:r>
            <w:hyperlink r:id="rId15" w:history="1">
              <w:r w:rsidRPr="006A3B78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https://centronaval.org.ar/web-cn/boletin/BCN867/BCN-867.pdf</w:t>
              </w:r>
            </w:hyperlink>
          </w:p>
          <w:p w14:paraId="60B0A772" w14:textId="77777777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1: Ámbitos de conflicto y su interacción</w:t>
            </w:r>
          </w:p>
          <w:p w14:paraId="74149874" w14:textId="77777777" w:rsidR="00313ABB" w:rsidRPr="006A3B78" w:rsidRDefault="00D576AA" w:rsidP="006A3B78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Torres, A. (2026). Comando en el mar. </w:t>
            </w:r>
            <w:r w:rsidRPr="006A3B78">
              <w:rPr>
                <w:rStyle w:val="nfasis"/>
                <w:rFonts w:ascii="Times New Roman" w:hAnsi="Times New Roman" w:cs="Times New Roman"/>
                <w:sz w:val="20"/>
                <w:szCs w:val="20"/>
                <w:lang w:val="es-AR"/>
              </w:rPr>
              <w:t>Boletín del Centro Naval</w:t>
            </w:r>
            <w:r w:rsidRPr="006A3B78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(868), 4–11. </w:t>
            </w:r>
            <w:hyperlink r:id="rId16" w:history="1">
              <w:r w:rsidRPr="006A3B78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AR"/>
                </w:rPr>
                <w:t>https://www.centronaval.org.ar/web-cn/boletin/BCN868/BCN-868.pdf</w:t>
              </w:r>
            </w:hyperlink>
          </w:p>
          <w:p w14:paraId="34C8B9AF" w14:textId="1F4826AC" w:rsidR="00313ABB" w:rsidRPr="00F60611" w:rsidRDefault="00D576AA" w:rsidP="006A3B78">
            <w:pPr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F60611">
              <w:rPr>
                <w:rStyle w:val="nfasis"/>
                <w:rFonts w:ascii="Times New Roman" w:hAnsi="Times New Roman" w:cs="Times New Roman"/>
                <w:color w:val="C00000"/>
                <w:sz w:val="18"/>
                <w:szCs w:val="18"/>
                <w:lang w:val="es-AR"/>
              </w:rPr>
              <w:t>Línea 3: Recursos humanos para la defensa</w:t>
            </w:r>
          </w:p>
        </w:tc>
      </w:tr>
      <w:tr w:rsidR="00B37E60" w:rsidRPr="00B37E60" w14:paraId="314C8A20" w14:textId="77777777" w:rsidTr="00F60611">
        <w:trPr>
          <w:cantSplit/>
        </w:trPr>
        <w:tc>
          <w:tcPr>
            <w:tcW w:w="1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07B0" w14:textId="77777777" w:rsidR="00B37E60" w:rsidRPr="00C42DB9" w:rsidRDefault="00B37E60" w:rsidP="00B37E60">
            <w:pPr>
              <w:rPr>
                <w:b/>
                <w:bCs/>
                <w:sz w:val="20"/>
                <w:szCs w:val="20"/>
                <w:lang w:val="es-AR"/>
              </w:rPr>
            </w:pPr>
            <w:r w:rsidRPr="00C42DB9">
              <w:rPr>
                <w:b/>
                <w:bCs/>
                <w:sz w:val="20"/>
                <w:szCs w:val="20"/>
                <w:lang w:val="es-AR"/>
              </w:rPr>
              <w:t>Rechazados o con revisiones mayores</w:t>
            </w:r>
          </w:p>
        </w:tc>
        <w:tc>
          <w:tcPr>
            <w:tcW w:w="9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3EC8" w14:textId="2952861C" w:rsidR="00B37E60" w:rsidRPr="00B37E60" w:rsidRDefault="00B37E60" w:rsidP="00B37E60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López Medina, C. J., &amp; Rodríguez Saavedra, L. (2024). Liderazgo: Perspectivas e investigación para el ámbito militar. </w:t>
            </w:r>
            <w:r w:rsidRPr="00B37E6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AR"/>
              </w:rPr>
              <w:t>Revista Científica de la Escuela Superior de Guerra del Ejército</w:t>
            </w: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</w:t>
            </w:r>
            <w:r w:rsidRPr="00B37E6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AR"/>
              </w:rPr>
              <w:t>3</w:t>
            </w: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(2), 44–56. </w:t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  <w:lang w:val="es-AR"/>
              </w:rPr>
              <w:fldChar w:fldCharType="begin"/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</w:rPr>
              <w:instrText>HYPERLINK "https://doi.org/10.60029/rcesge.v3i2arti4"</w:instrText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</w:rPr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  <w:lang w:val="es-AR"/>
              </w:rPr>
              <w:fldChar w:fldCharType="separate"/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  <w:lang w:val="es-AR"/>
              </w:rPr>
              <w:t>https://doi.org/10.60029/rcesge.v3i2arti4</w:t>
            </w:r>
            <w:r w:rsidRPr="00B37E60">
              <w:rPr>
                <w:rStyle w:val="Hipervnculo"/>
                <w:rFonts w:ascii="Times New Roman" w:hAnsi="Times New Roman" w:cs="Times New Roman"/>
                <w:sz w:val="18"/>
                <w:szCs w:val="18"/>
                <w:lang w:val="es-AR"/>
              </w:rPr>
              <w:fldChar w:fldCharType="end"/>
            </w:r>
          </w:p>
          <w:p w14:paraId="3B882C08" w14:textId="77777777" w:rsidR="00B37E60" w:rsidRPr="00B37E60" w:rsidRDefault="00B37E60" w:rsidP="00B37E60">
            <w:pPr>
              <w:pStyle w:val="Prrafodelista"/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s-AR"/>
              </w:rPr>
              <w:t>Línea 3: Recursos humanos para la defensa</w:t>
            </w:r>
          </w:p>
          <w:p w14:paraId="4F920457" w14:textId="324713F4" w:rsidR="00B37E60" w:rsidRPr="00B37E60" w:rsidRDefault="00B37E60" w:rsidP="00B37E60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de </w:t>
            </w:r>
            <w:proofErr w:type="spellStart"/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>Singlau</w:t>
            </w:r>
            <w:proofErr w:type="spellEnd"/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F. A. (2022). Seguridad y recursos naturales estratégicos: El caso del litio. </w:t>
            </w:r>
            <w:r w:rsidRPr="00B37E6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AR"/>
              </w:rPr>
              <w:t>Revista Integración y Cooperación Internacional</w:t>
            </w: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, (35), 7–25. </w:t>
            </w:r>
            <w:hyperlink r:id="rId17" w:history="1">
              <w:r w:rsidRPr="00B37E60">
                <w:rPr>
                  <w:rStyle w:val="Hipervnculo"/>
                  <w:rFonts w:ascii="Times New Roman" w:hAnsi="Times New Roman" w:cs="Times New Roman"/>
                  <w:sz w:val="18"/>
                  <w:szCs w:val="18"/>
                  <w:lang w:val="es-AR"/>
                </w:rPr>
                <w:t>https://doi.org/10.35305/revistamici.vi35.113</w:t>
              </w:r>
            </w:hyperlink>
          </w:p>
          <w:p w14:paraId="1D0574FF" w14:textId="77777777" w:rsidR="00B37E60" w:rsidRPr="00B37E60" w:rsidRDefault="00B37E60" w:rsidP="00B37E60">
            <w:pPr>
              <w:spacing w:after="0"/>
              <w:ind w:left="7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s-AR"/>
              </w:rPr>
              <w:t>Línea 5: Conocimiento, gestión y protección de recursos estratégicos</w:t>
            </w:r>
          </w:p>
          <w:p w14:paraId="7566159A" w14:textId="77777777" w:rsidR="00B37E60" w:rsidRPr="00B37E60" w:rsidRDefault="00B37E60" w:rsidP="00B37E60">
            <w:pPr>
              <w:pStyle w:val="Prrafodelista"/>
              <w:numPr>
                <w:ilvl w:val="0"/>
                <w:numId w:val="2"/>
              </w:numPr>
              <w:spacing w:after="0"/>
              <w:ind w:left="433"/>
              <w:rPr>
                <w:rFonts w:ascii="Times New Roman" w:hAnsi="Times New Roman" w:cs="Times New Roman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Olalla, A. (2025, 17 de noviembre). La ciberseguridad como eje de la Defensa nacional actual. </w:t>
            </w:r>
            <w:r w:rsidRPr="00B37E6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s-AR"/>
              </w:rPr>
              <w:t>Moncloa.com</w:t>
            </w:r>
            <w:r w:rsidRPr="00B37E60">
              <w:rPr>
                <w:rFonts w:ascii="Times New Roman" w:hAnsi="Times New Roman" w:cs="Times New Roman"/>
                <w:sz w:val="20"/>
                <w:szCs w:val="20"/>
                <w:lang w:val="es-AR"/>
              </w:rPr>
              <w:t xml:space="preserve">. </w:t>
            </w:r>
            <w:hyperlink r:id="rId18" w:history="1">
              <w:r w:rsidRPr="00B37E60">
                <w:rPr>
                  <w:rStyle w:val="Hipervnculo"/>
                  <w:rFonts w:ascii="Times New Roman" w:hAnsi="Times New Roman" w:cs="Times New Roman"/>
                  <w:sz w:val="18"/>
                  <w:szCs w:val="18"/>
                  <w:lang w:val="es-AR"/>
                </w:rPr>
                <w:t>https://www.moncloa.com/2025/11/17/la-ciberseguridad-como-eje-de-la-defensa-nacional-actual-3339743/</w:t>
              </w:r>
            </w:hyperlink>
          </w:p>
          <w:p w14:paraId="3E67DB15" w14:textId="5407CFBC" w:rsidR="00B37E60" w:rsidRPr="00B37E60" w:rsidRDefault="00B37E60" w:rsidP="00B37E60">
            <w:pPr>
              <w:pStyle w:val="Prrafodelista"/>
              <w:spacing w:after="0"/>
              <w:ind w:left="433"/>
              <w:jc w:val="right"/>
              <w:rPr>
                <w:rFonts w:ascii="Times New Roman" w:hAnsi="Times New Roman" w:cs="Times New Roman"/>
                <w:color w:val="C00000"/>
                <w:sz w:val="20"/>
                <w:szCs w:val="20"/>
                <w:lang w:val="es-AR"/>
              </w:rPr>
            </w:pPr>
            <w:r w:rsidRPr="00B37E60">
              <w:rPr>
                <w:rFonts w:ascii="Times New Roman" w:hAnsi="Times New Roman" w:cs="Times New Roman"/>
                <w:i/>
                <w:iCs/>
                <w:color w:val="C00000"/>
                <w:sz w:val="20"/>
                <w:szCs w:val="20"/>
                <w:lang w:val="es-AR"/>
              </w:rPr>
              <w:t>Línea 4: Dinámica de los conflictos en el ciberespacio</w:t>
            </w:r>
          </w:p>
        </w:tc>
      </w:tr>
    </w:tbl>
    <w:p w14:paraId="605BAAC4" w14:textId="77777777" w:rsidR="00E0667B" w:rsidRPr="00C42DB9" w:rsidRDefault="00E0667B">
      <w:pPr>
        <w:rPr>
          <w:lang w:val="es-AR"/>
        </w:rPr>
      </w:pPr>
    </w:p>
    <w:sectPr w:rsidR="00E0667B" w:rsidRPr="00C42DB9" w:rsidSect="006A3B78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F7726"/>
    <w:multiLevelType w:val="hybridMultilevel"/>
    <w:tmpl w:val="ADFE5DA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6FD34C93"/>
    <w:multiLevelType w:val="hybridMultilevel"/>
    <w:tmpl w:val="C798C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336654">
    <w:abstractNumId w:val="1"/>
  </w:num>
  <w:num w:numId="2" w16cid:durableId="138610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BE"/>
    <w:rsid w:val="00205D6A"/>
    <w:rsid w:val="003062BA"/>
    <w:rsid w:val="00313ABB"/>
    <w:rsid w:val="0033789C"/>
    <w:rsid w:val="003427E7"/>
    <w:rsid w:val="00352046"/>
    <w:rsid w:val="00517E15"/>
    <w:rsid w:val="0067130E"/>
    <w:rsid w:val="006A3B78"/>
    <w:rsid w:val="00722E19"/>
    <w:rsid w:val="0072360C"/>
    <w:rsid w:val="007434E0"/>
    <w:rsid w:val="00767712"/>
    <w:rsid w:val="007C3020"/>
    <w:rsid w:val="008C4CBC"/>
    <w:rsid w:val="008F5127"/>
    <w:rsid w:val="009445E8"/>
    <w:rsid w:val="009A3139"/>
    <w:rsid w:val="009E52D2"/>
    <w:rsid w:val="00A24E71"/>
    <w:rsid w:val="00B37E60"/>
    <w:rsid w:val="00BD79C7"/>
    <w:rsid w:val="00C42DB9"/>
    <w:rsid w:val="00C926A2"/>
    <w:rsid w:val="00D576AA"/>
    <w:rsid w:val="00DB2D37"/>
    <w:rsid w:val="00E0667B"/>
    <w:rsid w:val="00E258BE"/>
    <w:rsid w:val="00F6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B7B5"/>
  <w15:chartTrackingRefBased/>
  <w15:docId w15:val="{3290CA78-3D08-4EF3-A89C-3CB06B24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8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8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8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5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nfasis">
    <w:name w:val="Emphasis"/>
    <w:basedOn w:val="Fuentedeprrafopredeter"/>
    <w:uiPriority w:val="20"/>
    <w:qFormat/>
    <w:rsid w:val="00E258BE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258BE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5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1830/19006586.1389" TargetMode="External"/><Relationship Id="rId13" Type="http://schemas.openxmlformats.org/officeDocument/2006/relationships/hyperlink" Target="https://www.ciperchile.cl/2026/06/28/el-territorio-digital-del-estado-tiene-915-puertas-solo-16-tienen-timbre/" TargetMode="External"/><Relationship Id="rId18" Type="http://schemas.openxmlformats.org/officeDocument/2006/relationships/hyperlink" Target="https://www.moncloa.com/2025/11/17/la-ciberseguridad-como-eje-de-la-defensa-nacional-actual-333974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21830/19006586.1415" TargetMode="External"/><Relationship Id="rId12" Type="http://schemas.openxmlformats.org/officeDocument/2006/relationships/hyperlink" Target="https://www.ciperchile.cl/2026/08/19/estado-de-excepcion-de-seguridad-publica-y-la-hipotesis-de-la-guerra-interna/" TargetMode="External"/><Relationship Id="rId17" Type="http://schemas.openxmlformats.org/officeDocument/2006/relationships/hyperlink" Target="https://doi.org/10.35305/revistamici.vi35.1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entronaval.org.ar/web-cn/boletin/BCN868/BCN-868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21830/19006586.1077" TargetMode="External"/><Relationship Id="rId11" Type="http://schemas.openxmlformats.org/officeDocument/2006/relationships/hyperlink" Target="https://www.unav.edu/en/web/global-affairs/agendas-de-paz-y-seguridad-sin-blindaje-desafios-y-oportunidades-desde-america-latina" TargetMode="External"/><Relationship Id="rId5" Type="http://schemas.openxmlformats.org/officeDocument/2006/relationships/hyperlink" Target="https://doi.org/10.21830/19006586.866" TargetMode="External"/><Relationship Id="rId15" Type="http://schemas.openxmlformats.org/officeDocument/2006/relationships/hyperlink" Target="https://centronaval.org.ar/web-cn/boletin/BCN867/BCN-867.pdf" TargetMode="External"/><Relationship Id="rId10" Type="http://schemas.openxmlformats.org/officeDocument/2006/relationships/hyperlink" Target="https://doi.org/10.17141/urvio.34.2022.538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21830/19006586.1435" TargetMode="External"/><Relationship Id="rId14" Type="http://schemas.openxmlformats.org/officeDocument/2006/relationships/hyperlink" Target="https://agendapublica.es/noticia/20481/qu-espana-es-objetivo-cibern-t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Salonio</dc:creator>
  <cp:keywords/>
  <dc:description/>
  <cp:lastModifiedBy>usuario</cp:lastModifiedBy>
  <cp:revision>18</cp:revision>
  <dcterms:created xsi:type="dcterms:W3CDTF">2026-10-12T19:50:00Z</dcterms:created>
  <dcterms:modified xsi:type="dcterms:W3CDTF">2026-10-13T12:20:00Z</dcterms:modified>
</cp:coreProperties>
</file>