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60"/>
        <w:jc w:val="center"/>
      </w:pPr>
      <w:r>
        <w:rPr>
          <w:rFonts w:ascii="Times New Roman" w:hAnsi="Times New Roman"/>
          <w:b/>
          <w:i w:val="0"/>
          <w:color w:val="000000"/>
          <w:sz w:val="28"/>
        </w:rPr>
        <w:t>Knowledge-Guided AI for Sales Data Analysis and Marketing Performance</w:t>
      </w:r>
    </w:p>
    <w:p>
      <w:pPr>
        <w:spacing w:after="40"/>
        <w:jc w:val="center"/>
      </w:pPr>
      <w:r>
        <w:rPr>
          <w:rFonts w:ascii="Times New Roman" w:hAnsi="Times New Roman"/>
          <w:b/>
          <w:i w:val="0"/>
          <w:color w:val="000000"/>
          <w:sz w:val="22"/>
        </w:rPr>
        <w:t>A Hybrid Forecasting Model</w:t>
      </w:r>
    </w:p>
    <w:p>
      <w:pPr>
        <w:spacing w:after="60"/>
        <w:jc w:val="center"/>
      </w:pPr>
      <w:r>
        <w:rPr>
          <w:rFonts w:ascii="Times New Roman" w:hAnsi="Times New Roman"/>
          <w:b/>
          <w:i w:val="0"/>
          <w:color w:val="000000"/>
          <w:sz w:val="18"/>
        </w:rPr>
        <w:t>Bharat Kumar Vulugundam | Doctor of Business Administration Program</w:t>
      </w:r>
      <w:r>
        <w:rPr>
          <w:rFonts w:ascii="Times New Roman" w:hAnsi="Times New Roman"/>
          <w:b w:val="0"/>
          <w:i/>
          <w:color w:val="000000"/>
          <w:sz w:val="16"/>
        </w:rPr>
        <w:br/>
        <w:t>Affiliation and corresponding-author email to be added before submission</w:t>
      </w:r>
    </w:p>
    <w:p>
      <w:pPr>
        <w:keepNext/>
        <w:spacing w:before="80" w:after="30"/>
      </w:pPr>
      <w:r>
        <w:rPr>
          <w:rFonts w:ascii="Times New Roman" w:hAnsi="Times New Roman"/>
          <w:b/>
          <w:i w:val="0"/>
          <w:color w:val="000000"/>
          <w:sz w:val="20"/>
        </w:rPr>
        <w:t>Abstract</w:t>
      </w:r>
    </w:p>
    <w:p>
      <w:pPr>
        <w:keepLines w:val="0"/>
        <w:spacing w:before="0" w:after="40" w:line="240" w:lineRule="auto"/>
      </w:pPr>
      <w:r>
        <w:rPr>
          <w:rFonts w:ascii="Times New Roman" w:hAnsi="Times New Roman"/>
          <w:b w:val="0"/>
          <w:i w:val="0"/>
          <w:color w:val="000000"/>
          <w:sz w:val="19"/>
        </w:rPr>
        <w:t>Retail forecasts often treat promotion knowledge as another input rather than as an explicit, auditable prior. This short communication proposes a knowledge-guided hybrid that estimates a store-weekday sales norm, adjusts it with a bounded store-level promotion uplift, and supplies the resulting prior to histogram gradient boosting. Non-negativity and closed-store rules constrain the output. The method was evaluated on 1,017,209 daily observations from 1,115 Rossmann stores using the final 42 days as a chronological holdout. The hybrid achieved mean absolute error of 664.36, weighted absolute percentage error (WAPE) of 11.07%, and root mean squared percentage error of 16.21%. Relative to data-only AI, WAPE improved by 13.0% overall and 24.0% on non-promotion days, while promotion-day performance was unchanged. The result provides preliminary evidence that compact, explicit marketing knowledge can improve an efficient forecasting model without a large neural architecture. Holiday performance remained weaker, identifying event-specific knowledge as the next extension.</w:t>
      </w:r>
    </w:p>
    <w:p>
      <w:pPr>
        <w:keepLines w:val="0"/>
        <w:spacing w:before="0" w:after="40" w:line="240" w:lineRule="auto"/>
      </w:pPr>
      <w:r>
        <w:rPr>
          <w:rFonts w:ascii="Times New Roman" w:hAnsi="Times New Roman"/>
          <w:b/>
          <w:i w:val="0"/>
          <w:color w:val="000000"/>
          <w:sz w:val="19"/>
        </w:rPr>
        <w:t>Keywords:</w:t>
      </w:r>
      <w:r>
        <w:rPr>
          <w:rFonts w:ascii="Times New Roman" w:hAnsi="Times New Roman"/>
          <w:b w:val="0"/>
          <w:i w:val="0"/>
          <w:color w:val="000000"/>
          <w:sz w:val="19"/>
        </w:rPr>
        <w:t xml:space="preserve"> knowledge-guided AI; sales forecasting; marketing performance; hybrid model; decision support</w:t>
      </w:r>
    </w:p>
    <w:p>
      <w:pPr>
        <w:keepNext/>
        <w:spacing w:before="80" w:after="30"/>
      </w:pPr>
      <w:r>
        <w:rPr>
          <w:rFonts w:ascii="Times New Roman" w:hAnsi="Times New Roman"/>
          <w:b/>
          <w:i w:val="0"/>
          <w:color w:val="000000"/>
          <w:sz w:val="20"/>
        </w:rPr>
        <w:t>1. Introduction</w:t>
      </w:r>
    </w:p>
    <w:p>
      <w:pPr>
        <w:keepLines w:val="0"/>
        <w:spacing w:before="0" w:after="40" w:line="240" w:lineRule="auto"/>
      </w:pPr>
      <w:r>
        <w:rPr>
          <w:rFonts w:ascii="Times New Roman" w:hAnsi="Times New Roman"/>
          <w:b w:val="0"/>
          <w:i w:val="0"/>
          <w:color w:val="000000"/>
          <w:sz w:val="19"/>
        </w:rPr>
        <w:t>Promotion-aware sales forecasts support staffing, inventory, and marketing allocation, yet flexible learners can obscure stable business structure. Prior research shows that promotions require explicit treatment [1] and that known future information can guide sales forecasting [2]. We test a compact proposition: an auditable marketing prior can improve gradient boosting when it is represented as knowledge rather than left for the learner to rediscover. The contribution is a reproducible hybrid that couples a store-weekday norm, promotion uplift, machine learning, and operational constraints.</w:t>
      </w:r>
    </w:p>
    <w:p>
      <w:pPr>
        <w:keepNext/>
        <w:spacing w:before="80" w:after="30"/>
      </w:pPr>
      <w:r>
        <w:rPr>
          <w:rFonts w:ascii="Times New Roman" w:hAnsi="Times New Roman"/>
          <w:b/>
          <w:i w:val="0"/>
          <w:color w:val="000000"/>
          <w:sz w:val="20"/>
        </w:rPr>
        <w:t>2. Method</w:t>
      </w:r>
    </w:p>
    <w:p>
      <w:pPr>
        <w:keepLines w:val="0"/>
        <w:spacing w:before="0" w:after="40" w:line="240" w:lineRule="auto"/>
      </w:pPr>
      <w:r>
        <w:rPr>
          <w:rFonts w:ascii="Times New Roman" w:hAnsi="Times New Roman"/>
          <w:b w:val="0"/>
          <w:i w:val="0"/>
          <w:color w:val="000000"/>
          <w:sz w:val="19"/>
        </w:rPr>
        <w:t>The Rossmann benchmark contains daily sales, store, calendar, opening, promotion, and holiday fields [3]. Customer count was excluded because it is unavailable when a forecast is issued. Observations from 1 January 2013 through 19 June 2015 formed the training set (n = 970,379); 20 June through 31 July 2015 formed a 42-day holdout (n = 46,830). This time split prevents future observations from entering model estimation.</w:t>
      </w:r>
    </w:p>
    <w:p>
      <w:pPr>
        <w:keepLines w:val="0"/>
        <w:spacing w:before="0" w:after="40" w:line="240" w:lineRule="auto"/>
      </w:pPr>
      <w:r>
        <w:rPr>
          <w:rFonts w:ascii="Times New Roman" w:hAnsi="Times New Roman"/>
          <w:b w:val="0"/>
          <w:i w:val="0"/>
          <w:color w:val="000000"/>
          <w:sz w:val="19"/>
        </w:rPr>
        <w:t>For store s and weekday d, the knowledge prior is the median non-promotion sales level multiplied by a store-specific promotion uplift estimated from training medians and bounded to [0.8, 2.0]. Store and global medians provide fallbacks. Histogram gradient boosting [4,5] receives calendar, store-level, promotion, holiday, trend, and log-prior features. Predictions are constrained to zero for closed stores and clipped at zero otherwise. Identical hyperparameters (240 iterations, learning rate 0.08, 31 leaves, L2 = 1.0, seed 42) were used for the data-only and hybrid models. MAE, WAPE, and RMSPE assess accuracy; WAPE is emphasized because it weights error by realized sales.</w:t>
      </w:r>
    </w:p>
    <w:p>
      <w:r>
        <w:br w:type="page"/>
      </w:r>
    </w:p>
    <w:p>
      <w:pPr>
        <w:keepNext/>
        <w:spacing w:before="80" w:after="30"/>
      </w:pPr>
      <w:r>
        <w:rPr>
          <w:rFonts w:ascii="Times New Roman" w:hAnsi="Times New Roman"/>
          <w:b/>
          <w:i w:val="0"/>
          <w:color w:val="000000"/>
          <w:sz w:val="20"/>
        </w:rPr>
        <w:t>3. Results</w:t>
      </w:r>
    </w:p>
    <w:p>
      <w:pPr>
        <w:keepNext/>
        <w:spacing w:before="60" w:after="20"/>
      </w:pPr>
      <w:r>
        <w:rPr>
          <w:rFonts w:ascii="Times New Roman" w:hAnsi="Times New Roman"/>
          <w:b/>
          <w:i w:val="0"/>
          <w:color w:val="000000"/>
          <w:sz w:val="17"/>
        </w:rPr>
        <w:t>Table 1. Forecast performance on the 42-day chronological holdout</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642"/>
        <w:gridCol w:w="2642"/>
        <w:gridCol w:w="2642"/>
        <w:gridCol w:w="2642"/>
      </w:tblGrid>
      <w:tr>
        <w:tc>
          <w:tcPr>
            <w:tcW w:type="dxa" w:w="4896"/>
            <w:vAlign w:val="center"/>
            <w:tcMar>
              <w:top w:w="55" w:type="dxa"/>
              <w:start w:w="65" w:type="dxa"/>
              <w:bottom w:w="55" w:type="dxa"/>
              <w:end w:w="65" w:type="dxa"/>
            </w:tcMar>
            <w:shd w:fill="1F4E78"/>
          </w:tcPr>
          <w:p>
            <w:pPr>
              <w:spacing w:after="0"/>
              <w:jc w:val="center"/>
            </w:pPr>
            <w:r>
              <w:rPr>
                <w:rFonts w:ascii="Times New Roman" w:hAnsi="Times New Roman"/>
                <w:b/>
                <w:i w:val="0"/>
                <w:color w:val="FFFFFF"/>
                <w:sz w:val="15"/>
              </w:rPr>
              <w:t>Model</w:t>
            </w:r>
          </w:p>
        </w:tc>
        <w:tc>
          <w:tcPr>
            <w:tcW w:type="dxa" w:w="1656"/>
            <w:vAlign w:val="center"/>
            <w:tcMar>
              <w:top w:w="55" w:type="dxa"/>
              <w:start w:w="65" w:type="dxa"/>
              <w:bottom w:w="55" w:type="dxa"/>
              <w:end w:w="65" w:type="dxa"/>
            </w:tcMar>
            <w:shd w:fill="1F4E78"/>
          </w:tcPr>
          <w:p>
            <w:pPr>
              <w:spacing w:after="0"/>
              <w:jc w:val="center"/>
            </w:pPr>
            <w:r>
              <w:rPr>
                <w:rFonts w:ascii="Times New Roman" w:hAnsi="Times New Roman"/>
                <w:b/>
                <w:i w:val="0"/>
                <w:color w:val="FFFFFF"/>
                <w:sz w:val="15"/>
              </w:rPr>
              <w:t>MAE</w:t>
            </w:r>
          </w:p>
        </w:tc>
        <w:tc>
          <w:tcPr>
            <w:tcW w:type="dxa" w:w="1656"/>
            <w:vAlign w:val="center"/>
            <w:tcMar>
              <w:top w:w="55" w:type="dxa"/>
              <w:start w:w="65" w:type="dxa"/>
              <w:bottom w:w="55" w:type="dxa"/>
              <w:end w:w="65" w:type="dxa"/>
            </w:tcMar>
            <w:shd w:fill="1F4E78"/>
          </w:tcPr>
          <w:p>
            <w:pPr>
              <w:spacing w:after="0"/>
              <w:jc w:val="center"/>
            </w:pPr>
            <w:r>
              <w:rPr>
                <w:rFonts w:ascii="Times New Roman" w:hAnsi="Times New Roman"/>
                <w:b/>
                <w:i w:val="0"/>
                <w:color w:val="FFFFFF"/>
                <w:sz w:val="15"/>
              </w:rPr>
              <w:t>WAPE</w:t>
            </w:r>
          </w:p>
        </w:tc>
        <w:tc>
          <w:tcPr>
            <w:tcW w:type="dxa" w:w="1656"/>
            <w:vAlign w:val="center"/>
            <w:tcMar>
              <w:top w:w="55" w:type="dxa"/>
              <w:start w:w="65" w:type="dxa"/>
              <w:bottom w:w="55" w:type="dxa"/>
              <w:end w:w="65" w:type="dxa"/>
            </w:tcMar>
            <w:shd w:fill="1F4E78"/>
          </w:tcPr>
          <w:p>
            <w:pPr>
              <w:spacing w:after="0"/>
              <w:jc w:val="center"/>
            </w:pPr>
            <w:r>
              <w:rPr>
                <w:rFonts w:ascii="Times New Roman" w:hAnsi="Times New Roman"/>
                <w:b/>
                <w:i w:val="0"/>
                <w:color w:val="FFFFFF"/>
                <w:sz w:val="15"/>
              </w:rPr>
              <w:t>RMSPE</w:t>
            </w:r>
          </w:p>
        </w:tc>
      </w:tr>
      <w:tr>
        <w:tc>
          <w:tcPr>
            <w:tcW w:type="dxa" w:w="4896"/>
            <w:vAlign w:val="center"/>
            <w:tcMar>
              <w:top w:w="55" w:type="dxa"/>
              <w:start w:w="65" w:type="dxa"/>
              <w:bottom w:w="55" w:type="dxa"/>
              <w:end w:w="65" w:type="dxa"/>
            </w:tcMar>
          </w:tcPr>
          <w:p>
            <w:pPr>
              <w:spacing w:after="0"/>
              <w:jc w:val="left"/>
            </w:pPr>
            <w:r>
              <w:rPr>
                <w:rFonts w:ascii="Times New Roman" w:hAnsi="Times New Roman"/>
                <w:b w:val="0"/>
                <w:i w:val="0"/>
                <w:color w:val="000000"/>
                <w:sz w:val="15"/>
              </w:rPr>
              <w:t>Knowledge prior</w:t>
            </w:r>
          </w:p>
        </w:tc>
        <w:tc>
          <w:tcPr>
            <w:tcW w:type="dxa" w:w="1656"/>
            <w:vAlign w:val="center"/>
            <w:tcMar>
              <w:top w:w="55" w:type="dxa"/>
              <w:start w:w="65" w:type="dxa"/>
              <w:bottom w:w="55" w:type="dxa"/>
              <w:end w:w="65" w:type="dxa"/>
            </w:tcMar>
          </w:tcPr>
          <w:p>
            <w:pPr>
              <w:spacing w:after="0"/>
              <w:jc w:val="center"/>
            </w:pPr>
            <w:r>
              <w:rPr>
                <w:rFonts w:ascii="Times New Roman" w:hAnsi="Times New Roman"/>
                <w:b w:val="0"/>
                <w:i w:val="0"/>
                <w:color w:val="000000"/>
                <w:sz w:val="15"/>
              </w:rPr>
              <w:t>789.37</w:t>
            </w:r>
          </w:p>
        </w:tc>
        <w:tc>
          <w:tcPr>
            <w:tcW w:type="dxa" w:w="1656"/>
            <w:vAlign w:val="center"/>
            <w:tcMar>
              <w:top w:w="55" w:type="dxa"/>
              <w:start w:w="65" w:type="dxa"/>
              <w:bottom w:w="55" w:type="dxa"/>
              <w:end w:w="65" w:type="dxa"/>
            </w:tcMar>
          </w:tcPr>
          <w:p>
            <w:pPr>
              <w:spacing w:after="0"/>
              <w:jc w:val="center"/>
            </w:pPr>
            <w:r>
              <w:rPr>
                <w:rFonts w:ascii="Times New Roman" w:hAnsi="Times New Roman"/>
                <w:b w:val="0"/>
                <w:i w:val="0"/>
                <w:color w:val="000000"/>
                <w:sz w:val="15"/>
              </w:rPr>
              <w:t>0.1315</w:t>
            </w:r>
          </w:p>
        </w:tc>
        <w:tc>
          <w:tcPr>
            <w:tcW w:type="dxa" w:w="1656"/>
            <w:vAlign w:val="center"/>
            <w:tcMar>
              <w:top w:w="55" w:type="dxa"/>
              <w:start w:w="65" w:type="dxa"/>
              <w:bottom w:w="55" w:type="dxa"/>
              <w:end w:w="65" w:type="dxa"/>
            </w:tcMar>
          </w:tcPr>
          <w:p>
            <w:pPr>
              <w:spacing w:after="0"/>
              <w:jc w:val="center"/>
            </w:pPr>
            <w:r>
              <w:rPr>
                <w:rFonts w:ascii="Times New Roman" w:hAnsi="Times New Roman"/>
                <w:b w:val="0"/>
                <w:i w:val="0"/>
                <w:color w:val="000000"/>
                <w:sz w:val="15"/>
              </w:rPr>
              <w:t>0.1676</w:t>
            </w:r>
          </w:p>
        </w:tc>
      </w:tr>
      <w:tr>
        <w:tc>
          <w:tcPr>
            <w:tcW w:type="dxa" w:w="4896"/>
            <w:vAlign w:val="center"/>
            <w:tcMar>
              <w:top w:w="55" w:type="dxa"/>
              <w:start w:w="65" w:type="dxa"/>
              <w:bottom w:w="55" w:type="dxa"/>
              <w:end w:w="65" w:type="dxa"/>
            </w:tcMar>
            <w:shd w:fill="EAF2F8"/>
          </w:tcPr>
          <w:p>
            <w:pPr>
              <w:spacing w:after="0"/>
              <w:jc w:val="left"/>
            </w:pPr>
            <w:r>
              <w:rPr>
                <w:rFonts w:ascii="Times New Roman" w:hAnsi="Times New Roman"/>
                <w:b w:val="0"/>
                <w:i w:val="0"/>
                <w:color w:val="000000"/>
                <w:sz w:val="15"/>
              </w:rPr>
              <w:t>Data-only AI</w:t>
            </w:r>
          </w:p>
        </w:tc>
        <w:tc>
          <w:tcPr>
            <w:tcW w:type="dxa" w:w="1656"/>
            <w:vAlign w:val="center"/>
            <w:tcMar>
              <w:top w:w="55" w:type="dxa"/>
              <w:start w:w="65" w:type="dxa"/>
              <w:bottom w:w="55" w:type="dxa"/>
              <w:end w:w="65" w:type="dxa"/>
            </w:tcMar>
            <w:shd w:fill="EAF2F8"/>
          </w:tcPr>
          <w:p>
            <w:pPr>
              <w:spacing w:after="0"/>
              <w:jc w:val="center"/>
            </w:pPr>
            <w:r>
              <w:rPr>
                <w:rFonts w:ascii="Times New Roman" w:hAnsi="Times New Roman"/>
                <w:b w:val="0"/>
                <w:i w:val="0"/>
                <w:color w:val="000000"/>
                <w:sz w:val="15"/>
              </w:rPr>
              <w:t>763.91</w:t>
            </w:r>
          </w:p>
        </w:tc>
        <w:tc>
          <w:tcPr>
            <w:tcW w:type="dxa" w:w="1656"/>
            <w:vAlign w:val="center"/>
            <w:tcMar>
              <w:top w:w="55" w:type="dxa"/>
              <w:start w:w="65" w:type="dxa"/>
              <w:bottom w:w="55" w:type="dxa"/>
              <w:end w:w="65" w:type="dxa"/>
            </w:tcMar>
            <w:shd w:fill="EAF2F8"/>
          </w:tcPr>
          <w:p>
            <w:pPr>
              <w:spacing w:after="0"/>
              <w:jc w:val="center"/>
            </w:pPr>
            <w:r>
              <w:rPr>
                <w:rFonts w:ascii="Times New Roman" w:hAnsi="Times New Roman"/>
                <w:b w:val="0"/>
                <w:i w:val="0"/>
                <w:color w:val="000000"/>
                <w:sz w:val="15"/>
              </w:rPr>
              <w:t>0.1273</w:t>
            </w:r>
          </w:p>
        </w:tc>
        <w:tc>
          <w:tcPr>
            <w:tcW w:type="dxa" w:w="1656"/>
            <w:vAlign w:val="center"/>
            <w:tcMar>
              <w:top w:w="55" w:type="dxa"/>
              <w:start w:w="65" w:type="dxa"/>
              <w:bottom w:w="55" w:type="dxa"/>
              <w:end w:w="65" w:type="dxa"/>
            </w:tcMar>
            <w:shd w:fill="EAF2F8"/>
          </w:tcPr>
          <w:p>
            <w:pPr>
              <w:spacing w:after="0"/>
              <w:jc w:val="center"/>
            </w:pPr>
            <w:r>
              <w:rPr>
                <w:rFonts w:ascii="Times New Roman" w:hAnsi="Times New Roman"/>
                <w:b w:val="0"/>
                <w:i w:val="0"/>
                <w:color w:val="000000"/>
                <w:sz w:val="15"/>
              </w:rPr>
              <w:t>0.2027</w:t>
            </w:r>
          </w:p>
        </w:tc>
      </w:tr>
      <w:tr>
        <w:tc>
          <w:tcPr>
            <w:tcW w:type="dxa" w:w="4896"/>
            <w:vAlign w:val="center"/>
            <w:tcMar>
              <w:top w:w="55" w:type="dxa"/>
              <w:start w:w="65" w:type="dxa"/>
              <w:bottom w:w="55" w:type="dxa"/>
              <w:end w:w="65" w:type="dxa"/>
            </w:tcMar>
          </w:tcPr>
          <w:p>
            <w:pPr>
              <w:spacing w:after="0"/>
              <w:jc w:val="left"/>
            </w:pPr>
            <w:r>
              <w:rPr>
                <w:rFonts w:ascii="Times New Roman" w:hAnsi="Times New Roman"/>
                <w:b w:val="0"/>
                <w:i w:val="0"/>
                <w:color w:val="000000"/>
                <w:sz w:val="15"/>
              </w:rPr>
              <w:t>Knowledge-guided hybrid AI</w:t>
            </w:r>
          </w:p>
        </w:tc>
        <w:tc>
          <w:tcPr>
            <w:tcW w:type="dxa" w:w="1656"/>
            <w:vAlign w:val="center"/>
            <w:tcMar>
              <w:top w:w="55" w:type="dxa"/>
              <w:start w:w="65" w:type="dxa"/>
              <w:bottom w:w="55" w:type="dxa"/>
              <w:end w:w="65" w:type="dxa"/>
            </w:tcMar>
          </w:tcPr>
          <w:p>
            <w:pPr>
              <w:spacing w:after="0"/>
              <w:jc w:val="center"/>
            </w:pPr>
            <w:r>
              <w:rPr>
                <w:rFonts w:ascii="Times New Roman" w:hAnsi="Times New Roman"/>
                <w:b w:val="0"/>
                <w:i w:val="0"/>
                <w:color w:val="000000"/>
                <w:sz w:val="15"/>
              </w:rPr>
              <w:t>664.36</w:t>
            </w:r>
          </w:p>
        </w:tc>
        <w:tc>
          <w:tcPr>
            <w:tcW w:type="dxa" w:w="1656"/>
            <w:vAlign w:val="center"/>
            <w:tcMar>
              <w:top w:w="55" w:type="dxa"/>
              <w:start w:w="65" w:type="dxa"/>
              <w:bottom w:w="55" w:type="dxa"/>
              <w:end w:w="65" w:type="dxa"/>
            </w:tcMar>
          </w:tcPr>
          <w:p>
            <w:pPr>
              <w:spacing w:after="0"/>
              <w:jc w:val="center"/>
            </w:pPr>
            <w:r>
              <w:rPr>
                <w:rFonts w:ascii="Times New Roman" w:hAnsi="Times New Roman"/>
                <w:b w:val="0"/>
                <w:i w:val="0"/>
                <w:color w:val="000000"/>
                <w:sz w:val="15"/>
              </w:rPr>
              <w:t>0.1107</w:t>
            </w:r>
          </w:p>
        </w:tc>
        <w:tc>
          <w:tcPr>
            <w:tcW w:type="dxa" w:w="1656"/>
            <w:vAlign w:val="center"/>
            <w:tcMar>
              <w:top w:w="55" w:type="dxa"/>
              <w:start w:w="65" w:type="dxa"/>
              <w:bottom w:w="55" w:type="dxa"/>
              <w:end w:w="65" w:type="dxa"/>
            </w:tcMar>
          </w:tcPr>
          <w:p>
            <w:pPr>
              <w:spacing w:after="0"/>
              <w:jc w:val="center"/>
            </w:pPr>
            <w:r>
              <w:rPr>
                <w:rFonts w:ascii="Times New Roman" w:hAnsi="Times New Roman"/>
                <w:b w:val="0"/>
                <w:i w:val="0"/>
                <w:color w:val="000000"/>
                <w:sz w:val="15"/>
              </w:rPr>
              <w:t>0.1621</w:t>
            </w:r>
          </w:p>
        </w:tc>
      </w:tr>
    </w:tbl>
    <w:p>
      <w:pPr>
        <w:keepLines w:val="0"/>
        <w:spacing w:before="0" w:after="40" w:line="240" w:lineRule="auto"/>
      </w:pPr>
      <w:r>
        <w:rPr>
          <w:rFonts w:ascii="Times New Roman" w:hAnsi="Times New Roman"/>
          <w:b w:val="0"/>
          <w:i w:val="0"/>
          <w:color w:val="000000"/>
          <w:sz w:val="19"/>
        </w:rPr>
        <w:t>The hybrid produced the lowest error on all three measures (Table 1). Against data-only AI, its 11.07% WAPE represents a 13.0% relative reduction; its RMSPE fell by 20.0%. Against the explicit prior alone, WAPE fell by 9.5%. Thus, neither rules nor machine learning alone matched their integration.</w:t>
      </w:r>
    </w:p>
    <w:p>
      <w:pPr>
        <w:keepNext/>
        <w:spacing w:before="60" w:after="20"/>
      </w:pPr>
      <w:r>
        <w:rPr>
          <w:rFonts w:ascii="Times New Roman" w:hAnsi="Times New Roman"/>
          <w:b/>
          <w:i w:val="0"/>
          <w:color w:val="000000"/>
          <w:sz w:val="17"/>
        </w:rPr>
        <w:t>Table 2. Marketing-relevant segment performance</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114"/>
        <w:gridCol w:w="2114"/>
        <w:gridCol w:w="2114"/>
        <w:gridCol w:w="2114"/>
        <w:gridCol w:w="2114"/>
      </w:tblGrid>
      <w:tr>
        <w:tc>
          <w:tcPr>
            <w:tcW w:type="dxa" w:w="3240"/>
            <w:vAlign w:val="center"/>
            <w:tcMar>
              <w:top w:w="55" w:type="dxa"/>
              <w:start w:w="65" w:type="dxa"/>
              <w:bottom w:w="55" w:type="dxa"/>
              <w:end w:w="65" w:type="dxa"/>
            </w:tcMar>
            <w:shd w:fill="1F4E78"/>
          </w:tcPr>
          <w:p>
            <w:pPr>
              <w:spacing w:after="0"/>
              <w:jc w:val="center"/>
            </w:pPr>
            <w:r>
              <w:rPr>
                <w:rFonts w:ascii="Times New Roman" w:hAnsi="Times New Roman"/>
                <w:b/>
                <w:i w:val="0"/>
                <w:color w:val="FFFFFF"/>
                <w:sz w:val="15"/>
              </w:rPr>
              <w:t>Segment</w:t>
            </w:r>
          </w:p>
        </w:tc>
        <w:tc>
          <w:tcPr>
            <w:tcW w:type="dxa" w:w="1152"/>
            <w:vAlign w:val="center"/>
            <w:tcMar>
              <w:top w:w="55" w:type="dxa"/>
              <w:start w:w="65" w:type="dxa"/>
              <w:bottom w:w="55" w:type="dxa"/>
              <w:end w:w="65" w:type="dxa"/>
            </w:tcMar>
            <w:shd w:fill="1F4E78"/>
          </w:tcPr>
          <w:p>
            <w:pPr>
              <w:spacing w:after="0"/>
              <w:jc w:val="center"/>
            </w:pPr>
            <w:r>
              <w:rPr>
                <w:rFonts w:ascii="Times New Roman" w:hAnsi="Times New Roman"/>
                <w:b/>
                <w:i w:val="0"/>
                <w:color w:val="FFFFFF"/>
                <w:sz w:val="15"/>
              </w:rPr>
              <w:t>n</w:t>
            </w:r>
          </w:p>
        </w:tc>
        <w:tc>
          <w:tcPr>
            <w:tcW w:type="dxa" w:w="1800"/>
            <w:vAlign w:val="center"/>
            <w:tcMar>
              <w:top w:w="55" w:type="dxa"/>
              <w:start w:w="65" w:type="dxa"/>
              <w:bottom w:w="55" w:type="dxa"/>
              <w:end w:w="65" w:type="dxa"/>
            </w:tcMar>
            <w:shd w:fill="1F4E78"/>
          </w:tcPr>
          <w:p>
            <w:pPr>
              <w:spacing w:after="0"/>
              <w:jc w:val="center"/>
            </w:pPr>
            <w:r>
              <w:rPr>
                <w:rFonts w:ascii="Times New Roman" w:hAnsi="Times New Roman"/>
                <w:b/>
                <w:i w:val="0"/>
                <w:color w:val="FFFFFF"/>
                <w:sz w:val="15"/>
              </w:rPr>
              <w:t>Hybrid WAPE</w:t>
            </w:r>
          </w:p>
        </w:tc>
        <w:tc>
          <w:tcPr>
            <w:tcW w:type="dxa" w:w="1944"/>
            <w:vAlign w:val="center"/>
            <w:tcMar>
              <w:top w:w="55" w:type="dxa"/>
              <w:start w:w="65" w:type="dxa"/>
              <w:bottom w:w="55" w:type="dxa"/>
              <w:end w:w="65" w:type="dxa"/>
            </w:tcMar>
            <w:shd w:fill="1F4E78"/>
          </w:tcPr>
          <w:p>
            <w:pPr>
              <w:spacing w:after="0"/>
              <w:jc w:val="center"/>
            </w:pPr>
            <w:r>
              <w:rPr>
                <w:rFonts w:ascii="Times New Roman" w:hAnsi="Times New Roman"/>
                <w:b/>
                <w:i w:val="0"/>
                <w:color w:val="FFFFFF"/>
                <w:sz w:val="15"/>
              </w:rPr>
              <w:t>Data-only WAPE</w:t>
            </w:r>
          </w:p>
        </w:tc>
        <w:tc>
          <w:tcPr>
            <w:tcW w:type="dxa" w:w="1656"/>
            <w:vAlign w:val="center"/>
            <w:tcMar>
              <w:top w:w="55" w:type="dxa"/>
              <w:start w:w="65" w:type="dxa"/>
              <w:bottom w:w="55" w:type="dxa"/>
              <w:end w:w="65" w:type="dxa"/>
            </w:tcMar>
            <w:shd w:fill="1F4E78"/>
          </w:tcPr>
          <w:p>
            <w:pPr>
              <w:spacing w:after="0"/>
              <w:jc w:val="center"/>
            </w:pPr>
            <w:r>
              <w:rPr>
                <w:rFonts w:ascii="Times New Roman" w:hAnsi="Times New Roman"/>
                <w:b/>
                <w:i w:val="0"/>
                <w:color w:val="FFFFFF"/>
                <w:sz w:val="15"/>
              </w:rPr>
              <w:t>Relative gain</w:t>
            </w:r>
          </w:p>
        </w:tc>
      </w:tr>
      <w:tr>
        <w:tc>
          <w:tcPr>
            <w:tcW w:type="dxa" w:w="3240"/>
            <w:vAlign w:val="center"/>
            <w:tcMar>
              <w:top w:w="55" w:type="dxa"/>
              <w:start w:w="65" w:type="dxa"/>
              <w:bottom w:w="55" w:type="dxa"/>
              <w:end w:w="65" w:type="dxa"/>
            </w:tcMar>
          </w:tcPr>
          <w:p>
            <w:pPr>
              <w:spacing w:after="0"/>
              <w:jc w:val="left"/>
            </w:pPr>
            <w:r>
              <w:rPr>
                <w:rFonts w:ascii="Times New Roman" w:hAnsi="Times New Roman"/>
                <w:b w:val="0"/>
                <w:i w:val="0"/>
                <w:color w:val="000000"/>
                <w:sz w:val="15"/>
              </w:rPr>
              <w:t>Promotion days</w:t>
            </w:r>
          </w:p>
        </w:tc>
        <w:tc>
          <w:tcPr>
            <w:tcW w:type="dxa" w:w="1152"/>
            <w:vAlign w:val="center"/>
            <w:tcMar>
              <w:top w:w="55" w:type="dxa"/>
              <w:start w:w="65" w:type="dxa"/>
              <w:bottom w:w="55" w:type="dxa"/>
              <w:end w:w="65" w:type="dxa"/>
            </w:tcMar>
          </w:tcPr>
          <w:p>
            <w:pPr>
              <w:spacing w:after="0"/>
              <w:jc w:val="center"/>
            </w:pPr>
            <w:r>
              <w:rPr>
                <w:rFonts w:ascii="Times New Roman" w:hAnsi="Times New Roman"/>
                <w:b w:val="0"/>
                <w:i w:val="0"/>
                <w:color w:val="000000"/>
                <w:sz w:val="15"/>
              </w:rPr>
              <w:t>16,725</w:t>
            </w:r>
          </w:p>
        </w:tc>
        <w:tc>
          <w:tcPr>
            <w:tcW w:type="dxa" w:w="1800"/>
            <w:vAlign w:val="center"/>
            <w:tcMar>
              <w:top w:w="55" w:type="dxa"/>
              <w:start w:w="65" w:type="dxa"/>
              <w:bottom w:w="55" w:type="dxa"/>
              <w:end w:w="65" w:type="dxa"/>
            </w:tcMar>
          </w:tcPr>
          <w:p>
            <w:pPr>
              <w:spacing w:after="0"/>
              <w:jc w:val="center"/>
            </w:pPr>
            <w:r>
              <w:rPr>
                <w:rFonts w:ascii="Times New Roman" w:hAnsi="Times New Roman"/>
                <w:b w:val="0"/>
                <w:i w:val="0"/>
                <w:color w:val="000000"/>
                <w:sz w:val="15"/>
              </w:rPr>
              <w:t>0.1150</w:t>
            </w:r>
          </w:p>
        </w:tc>
        <w:tc>
          <w:tcPr>
            <w:tcW w:type="dxa" w:w="1944"/>
            <w:vAlign w:val="center"/>
            <w:tcMar>
              <w:top w:w="55" w:type="dxa"/>
              <w:start w:w="65" w:type="dxa"/>
              <w:bottom w:w="55" w:type="dxa"/>
              <w:end w:w="65" w:type="dxa"/>
            </w:tcMar>
          </w:tcPr>
          <w:p>
            <w:pPr>
              <w:spacing w:after="0"/>
              <w:jc w:val="center"/>
            </w:pPr>
            <w:r>
              <w:rPr>
                <w:rFonts w:ascii="Times New Roman" w:hAnsi="Times New Roman"/>
                <w:b w:val="0"/>
                <w:i w:val="0"/>
                <w:color w:val="000000"/>
                <w:sz w:val="15"/>
              </w:rPr>
              <w:t>0.1150</w:t>
            </w:r>
          </w:p>
        </w:tc>
        <w:tc>
          <w:tcPr>
            <w:tcW w:type="dxa" w:w="1656"/>
            <w:vAlign w:val="center"/>
            <w:tcMar>
              <w:top w:w="55" w:type="dxa"/>
              <w:start w:w="65" w:type="dxa"/>
              <w:bottom w:w="55" w:type="dxa"/>
              <w:end w:w="65" w:type="dxa"/>
            </w:tcMar>
          </w:tcPr>
          <w:p>
            <w:pPr>
              <w:spacing w:after="0"/>
              <w:jc w:val="center"/>
            </w:pPr>
            <w:r>
              <w:rPr>
                <w:rFonts w:ascii="Times New Roman" w:hAnsi="Times New Roman"/>
                <w:b w:val="0"/>
                <w:i w:val="0"/>
                <w:color w:val="000000"/>
                <w:sz w:val="15"/>
              </w:rPr>
              <w:t>0.0%</w:t>
            </w:r>
          </w:p>
        </w:tc>
      </w:tr>
      <w:tr>
        <w:tc>
          <w:tcPr>
            <w:tcW w:type="dxa" w:w="3240"/>
            <w:vAlign w:val="center"/>
            <w:tcMar>
              <w:top w:w="55" w:type="dxa"/>
              <w:start w:w="65" w:type="dxa"/>
              <w:bottom w:w="55" w:type="dxa"/>
              <w:end w:w="65" w:type="dxa"/>
            </w:tcMar>
            <w:shd w:fill="EAF2F8"/>
          </w:tcPr>
          <w:p>
            <w:pPr>
              <w:spacing w:after="0"/>
              <w:jc w:val="left"/>
            </w:pPr>
            <w:r>
              <w:rPr>
                <w:rFonts w:ascii="Times New Roman" w:hAnsi="Times New Roman"/>
                <w:b w:val="0"/>
                <w:i w:val="0"/>
                <w:color w:val="000000"/>
                <w:sz w:val="15"/>
              </w:rPr>
              <w:t>Non-promotion days</w:t>
            </w:r>
          </w:p>
        </w:tc>
        <w:tc>
          <w:tcPr>
            <w:tcW w:type="dxa" w:w="1152"/>
            <w:vAlign w:val="center"/>
            <w:tcMar>
              <w:top w:w="55" w:type="dxa"/>
              <w:start w:w="65" w:type="dxa"/>
              <w:bottom w:w="55" w:type="dxa"/>
              <w:end w:w="65" w:type="dxa"/>
            </w:tcMar>
            <w:shd w:fill="EAF2F8"/>
          </w:tcPr>
          <w:p>
            <w:pPr>
              <w:spacing w:after="0"/>
              <w:jc w:val="center"/>
            </w:pPr>
            <w:r>
              <w:rPr>
                <w:rFonts w:ascii="Times New Roman" w:hAnsi="Times New Roman"/>
                <w:b w:val="0"/>
                <w:i w:val="0"/>
                <w:color w:val="000000"/>
                <w:sz w:val="15"/>
              </w:rPr>
              <w:t>30,105</w:t>
            </w:r>
          </w:p>
        </w:tc>
        <w:tc>
          <w:tcPr>
            <w:tcW w:type="dxa" w:w="1800"/>
            <w:vAlign w:val="center"/>
            <w:tcMar>
              <w:top w:w="55" w:type="dxa"/>
              <w:start w:w="65" w:type="dxa"/>
              <w:bottom w:w="55" w:type="dxa"/>
              <w:end w:w="65" w:type="dxa"/>
            </w:tcMar>
            <w:shd w:fill="EAF2F8"/>
          </w:tcPr>
          <w:p>
            <w:pPr>
              <w:spacing w:after="0"/>
              <w:jc w:val="center"/>
            </w:pPr>
            <w:r>
              <w:rPr>
                <w:rFonts w:ascii="Times New Roman" w:hAnsi="Times New Roman"/>
                <w:b w:val="0"/>
                <w:i w:val="0"/>
                <w:color w:val="000000"/>
                <w:sz w:val="15"/>
              </w:rPr>
              <w:t>0.1063</w:t>
            </w:r>
          </w:p>
        </w:tc>
        <w:tc>
          <w:tcPr>
            <w:tcW w:type="dxa" w:w="1944"/>
            <w:vAlign w:val="center"/>
            <w:tcMar>
              <w:top w:w="55" w:type="dxa"/>
              <w:start w:w="65" w:type="dxa"/>
              <w:bottom w:w="55" w:type="dxa"/>
              <w:end w:w="65" w:type="dxa"/>
            </w:tcMar>
            <w:shd w:fill="EAF2F8"/>
          </w:tcPr>
          <w:p>
            <w:pPr>
              <w:spacing w:after="0"/>
              <w:jc w:val="center"/>
            </w:pPr>
            <w:r>
              <w:rPr>
                <w:rFonts w:ascii="Times New Roman" w:hAnsi="Times New Roman"/>
                <w:b w:val="0"/>
                <w:i w:val="0"/>
                <w:color w:val="000000"/>
                <w:sz w:val="15"/>
              </w:rPr>
              <w:t>0.1398</w:t>
            </w:r>
          </w:p>
        </w:tc>
        <w:tc>
          <w:tcPr>
            <w:tcW w:type="dxa" w:w="1656"/>
            <w:vAlign w:val="center"/>
            <w:tcMar>
              <w:top w:w="55" w:type="dxa"/>
              <w:start w:w="65" w:type="dxa"/>
              <w:bottom w:w="55" w:type="dxa"/>
              <w:end w:w="65" w:type="dxa"/>
            </w:tcMar>
            <w:shd w:fill="EAF2F8"/>
          </w:tcPr>
          <w:p>
            <w:pPr>
              <w:spacing w:after="0"/>
              <w:jc w:val="center"/>
            </w:pPr>
            <w:r>
              <w:rPr>
                <w:rFonts w:ascii="Times New Roman" w:hAnsi="Times New Roman"/>
                <w:b w:val="0"/>
                <w:i w:val="0"/>
                <w:color w:val="000000"/>
                <w:sz w:val="15"/>
              </w:rPr>
              <w:t>24.0%</w:t>
            </w:r>
          </w:p>
        </w:tc>
      </w:tr>
      <w:tr>
        <w:tc>
          <w:tcPr>
            <w:tcW w:type="dxa" w:w="3240"/>
            <w:vAlign w:val="center"/>
            <w:tcMar>
              <w:top w:w="55" w:type="dxa"/>
              <w:start w:w="65" w:type="dxa"/>
              <w:bottom w:w="55" w:type="dxa"/>
              <w:end w:w="65" w:type="dxa"/>
            </w:tcMar>
          </w:tcPr>
          <w:p>
            <w:pPr>
              <w:spacing w:after="0"/>
              <w:jc w:val="left"/>
            </w:pPr>
            <w:r>
              <w:rPr>
                <w:rFonts w:ascii="Times New Roman" w:hAnsi="Times New Roman"/>
                <w:b w:val="0"/>
                <w:i w:val="0"/>
                <w:color w:val="000000"/>
                <w:sz w:val="15"/>
              </w:rPr>
              <w:t>School holidays</w:t>
            </w:r>
          </w:p>
        </w:tc>
        <w:tc>
          <w:tcPr>
            <w:tcW w:type="dxa" w:w="1152"/>
            <w:vAlign w:val="center"/>
            <w:tcMar>
              <w:top w:w="55" w:type="dxa"/>
              <w:start w:w="65" w:type="dxa"/>
              <w:bottom w:w="55" w:type="dxa"/>
              <w:end w:w="65" w:type="dxa"/>
            </w:tcMar>
          </w:tcPr>
          <w:p>
            <w:pPr>
              <w:spacing w:after="0"/>
              <w:jc w:val="center"/>
            </w:pPr>
            <w:r>
              <w:rPr>
                <w:rFonts w:ascii="Times New Roman" w:hAnsi="Times New Roman"/>
                <w:b w:val="0"/>
                <w:i w:val="0"/>
                <w:color w:val="000000"/>
                <w:sz w:val="15"/>
              </w:rPr>
              <w:t>13,349</w:t>
            </w:r>
          </w:p>
        </w:tc>
        <w:tc>
          <w:tcPr>
            <w:tcW w:type="dxa" w:w="1800"/>
            <w:vAlign w:val="center"/>
            <w:tcMar>
              <w:top w:w="55" w:type="dxa"/>
              <w:start w:w="65" w:type="dxa"/>
              <w:bottom w:w="55" w:type="dxa"/>
              <w:end w:w="65" w:type="dxa"/>
            </w:tcMar>
          </w:tcPr>
          <w:p>
            <w:pPr>
              <w:spacing w:after="0"/>
              <w:jc w:val="center"/>
            </w:pPr>
            <w:r>
              <w:rPr>
                <w:rFonts w:ascii="Times New Roman" w:hAnsi="Times New Roman"/>
                <w:b w:val="0"/>
                <w:i w:val="0"/>
                <w:color w:val="000000"/>
                <w:sz w:val="15"/>
              </w:rPr>
              <w:t>0.1178</w:t>
            </w:r>
          </w:p>
        </w:tc>
        <w:tc>
          <w:tcPr>
            <w:tcW w:type="dxa" w:w="1944"/>
            <w:vAlign w:val="center"/>
            <w:tcMar>
              <w:top w:w="55" w:type="dxa"/>
              <w:start w:w="65" w:type="dxa"/>
              <w:bottom w:w="55" w:type="dxa"/>
              <w:end w:w="65" w:type="dxa"/>
            </w:tcMar>
          </w:tcPr>
          <w:p>
            <w:pPr>
              <w:spacing w:after="0"/>
              <w:jc w:val="center"/>
            </w:pPr>
            <w:r>
              <w:rPr>
                <w:rFonts w:ascii="Times New Roman" w:hAnsi="Times New Roman"/>
                <w:b w:val="0"/>
                <w:i w:val="0"/>
                <w:color w:val="000000"/>
                <w:sz w:val="15"/>
              </w:rPr>
              <w:t>0.1142</w:t>
            </w:r>
          </w:p>
        </w:tc>
        <w:tc>
          <w:tcPr>
            <w:tcW w:type="dxa" w:w="1656"/>
            <w:vAlign w:val="center"/>
            <w:tcMar>
              <w:top w:w="55" w:type="dxa"/>
              <w:start w:w="65" w:type="dxa"/>
              <w:bottom w:w="55" w:type="dxa"/>
              <w:end w:w="65" w:type="dxa"/>
            </w:tcMar>
          </w:tcPr>
          <w:p>
            <w:pPr>
              <w:spacing w:after="0"/>
              <w:jc w:val="center"/>
            </w:pPr>
            <w:r>
              <w:rPr>
                <w:rFonts w:ascii="Times New Roman" w:hAnsi="Times New Roman"/>
                <w:b w:val="0"/>
                <w:i w:val="0"/>
                <w:color w:val="000000"/>
                <w:sz w:val="15"/>
              </w:rPr>
              <w:t>-3.1%</w:t>
            </w:r>
          </w:p>
        </w:tc>
      </w:tr>
      <w:tr>
        <w:tc>
          <w:tcPr>
            <w:tcW w:type="dxa" w:w="3240"/>
            <w:vAlign w:val="center"/>
            <w:tcMar>
              <w:top w:w="55" w:type="dxa"/>
              <w:start w:w="65" w:type="dxa"/>
              <w:bottom w:w="55" w:type="dxa"/>
              <w:end w:w="65" w:type="dxa"/>
            </w:tcMar>
            <w:shd w:fill="EAF2F8"/>
          </w:tcPr>
          <w:p>
            <w:pPr>
              <w:spacing w:after="0"/>
              <w:jc w:val="left"/>
            </w:pPr>
            <w:r>
              <w:rPr>
                <w:rFonts w:ascii="Times New Roman" w:hAnsi="Times New Roman"/>
                <w:b w:val="0"/>
                <w:i w:val="0"/>
                <w:color w:val="000000"/>
                <w:sz w:val="15"/>
              </w:rPr>
              <w:t>All open days</w:t>
            </w:r>
          </w:p>
        </w:tc>
        <w:tc>
          <w:tcPr>
            <w:tcW w:type="dxa" w:w="1152"/>
            <w:vAlign w:val="center"/>
            <w:tcMar>
              <w:top w:w="55" w:type="dxa"/>
              <w:start w:w="65" w:type="dxa"/>
              <w:bottom w:w="55" w:type="dxa"/>
              <w:end w:w="65" w:type="dxa"/>
            </w:tcMar>
            <w:shd w:fill="EAF2F8"/>
          </w:tcPr>
          <w:p>
            <w:pPr>
              <w:spacing w:after="0"/>
              <w:jc w:val="center"/>
            </w:pPr>
            <w:r>
              <w:rPr>
                <w:rFonts w:ascii="Times New Roman" w:hAnsi="Times New Roman"/>
                <w:b w:val="0"/>
                <w:i w:val="0"/>
                <w:color w:val="000000"/>
                <w:sz w:val="15"/>
              </w:rPr>
              <w:t>40,282</w:t>
            </w:r>
          </w:p>
        </w:tc>
        <w:tc>
          <w:tcPr>
            <w:tcW w:type="dxa" w:w="1800"/>
            <w:vAlign w:val="center"/>
            <w:tcMar>
              <w:top w:w="55" w:type="dxa"/>
              <w:start w:w="65" w:type="dxa"/>
              <w:bottom w:w="55" w:type="dxa"/>
              <w:end w:w="65" w:type="dxa"/>
            </w:tcMar>
            <w:shd w:fill="EAF2F8"/>
          </w:tcPr>
          <w:p>
            <w:pPr>
              <w:spacing w:after="0"/>
              <w:jc w:val="center"/>
            </w:pPr>
            <w:r>
              <w:rPr>
                <w:rFonts w:ascii="Times New Roman" w:hAnsi="Times New Roman"/>
                <w:b w:val="0"/>
                <w:i w:val="0"/>
                <w:color w:val="000000"/>
                <w:sz w:val="15"/>
              </w:rPr>
              <w:t>0.1107</w:t>
            </w:r>
          </w:p>
        </w:tc>
        <w:tc>
          <w:tcPr>
            <w:tcW w:type="dxa" w:w="1944"/>
            <w:vAlign w:val="center"/>
            <w:tcMar>
              <w:top w:w="55" w:type="dxa"/>
              <w:start w:w="65" w:type="dxa"/>
              <w:bottom w:w="55" w:type="dxa"/>
              <w:end w:w="65" w:type="dxa"/>
            </w:tcMar>
            <w:shd w:fill="EAF2F8"/>
          </w:tcPr>
          <w:p>
            <w:pPr>
              <w:spacing w:after="0"/>
              <w:jc w:val="center"/>
            </w:pPr>
            <w:r>
              <w:rPr>
                <w:rFonts w:ascii="Times New Roman" w:hAnsi="Times New Roman"/>
                <w:b w:val="0"/>
                <w:i w:val="0"/>
                <w:color w:val="000000"/>
                <w:sz w:val="15"/>
              </w:rPr>
              <w:t>0.1273</w:t>
            </w:r>
          </w:p>
        </w:tc>
        <w:tc>
          <w:tcPr>
            <w:tcW w:type="dxa" w:w="1656"/>
            <w:vAlign w:val="center"/>
            <w:tcMar>
              <w:top w:w="55" w:type="dxa"/>
              <w:start w:w="65" w:type="dxa"/>
              <w:bottom w:w="55" w:type="dxa"/>
              <w:end w:w="65" w:type="dxa"/>
            </w:tcMar>
            <w:shd w:fill="EAF2F8"/>
          </w:tcPr>
          <w:p>
            <w:pPr>
              <w:spacing w:after="0"/>
              <w:jc w:val="center"/>
            </w:pPr>
            <w:r>
              <w:rPr>
                <w:rFonts w:ascii="Times New Roman" w:hAnsi="Times New Roman"/>
                <w:b w:val="0"/>
                <w:i w:val="0"/>
                <w:color w:val="000000"/>
                <w:sz w:val="15"/>
              </w:rPr>
              <w:t>13.0%</w:t>
            </w:r>
          </w:p>
        </w:tc>
      </w:tr>
    </w:tbl>
    <w:p>
      <w:pPr>
        <w:keepLines w:val="0"/>
        <w:spacing w:before="0" w:after="40" w:line="240" w:lineRule="auto"/>
      </w:pPr>
      <w:r>
        <w:rPr>
          <w:rFonts w:ascii="Times New Roman" w:hAnsi="Times New Roman"/>
          <w:b w:val="0"/>
          <w:i w:val="0"/>
          <w:color w:val="000000"/>
          <w:sz w:val="19"/>
        </w:rPr>
        <w:t>Segment results qualify the aggregate gain (Table 2). The hybrid materially improved ordinary trading days, matched the comparator during promotions, and underperformed it on school holidays. The promotion prior appears most useful as a stable reference, whereas holiday demand requires richer event, locality, or interaction knowledge.</w:t>
      </w:r>
    </w:p>
    <w:p>
      <w:pPr>
        <w:keepNext/>
        <w:spacing w:before="80" w:after="30"/>
      </w:pPr>
      <w:r>
        <w:rPr>
          <w:rFonts w:ascii="Times New Roman" w:hAnsi="Times New Roman"/>
          <w:b/>
          <w:i w:val="0"/>
          <w:color w:val="000000"/>
          <w:sz w:val="20"/>
        </w:rPr>
        <w:t>4. Implications and limitations</w:t>
      </w:r>
    </w:p>
    <w:p>
      <w:pPr>
        <w:keepLines w:val="0"/>
        <w:spacing w:before="0" w:after="40" w:line="240" w:lineRule="auto"/>
      </w:pPr>
      <w:r>
        <w:rPr>
          <w:rFonts w:ascii="Times New Roman" w:hAnsi="Times New Roman"/>
          <w:b w:val="0"/>
          <w:i w:val="0"/>
          <w:color w:val="000000"/>
          <w:sz w:val="19"/>
        </w:rPr>
        <w:t>The model operationalizes managerial knowledge as a visible intermediate value that can be inspected, challenged, and replaced. This supports decision makers who need both forecast accuracy and a defensible marketing baseline. The approach is computationally modest and therefore suitable for rapid retraining. However, the evidence comes from one historical retailer, the design evaluates a single 42-day holdout, and no causal claim about promotion effectiveness is warranted. Multi-window validation, uncertainty intervals, regional holiday knowledge, and comparison with modern temporal architectures are required before deployment.</w:t>
      </w:r>
    </w:p>
    <w:p>
      <w:pPr>
        <w:keepNext/>
        <w:spacing w:before="80" w:after="30"/>
      </w:pPr>
      <w:r>
        <w:rPr>
          <w:rFonts w:ascii="Times New Roman" w:hAnsi="Times New Roman"/>
          <w:b/>
          <w:i w:val="0"/>
          <w:color w:val="000000"/>
          <w:sz w:val="20"/>
        </w:rPr>
        <w:t>5. Conclusion</w:t>
      </w:r>
    </w:p>
    <w:p>
      <w:pPr>
        <w:keepLines w:val="0"/>
        <w:spacing w:before="0" w:after="40" w:line="240" w:lineRule="auto"/>
      </w:pPr>
      <w:r>
        <w:rPr>
          <w:rFonts w:ascii="Times New Roman" w:hAnsi="Times New Roman"/>
          <w:b w:val="0"/>
          <w:i w:val="0"/>
          <w:color w:val="000000"/>
          <w:sz w:val="19"/>
        </w:rPr>
        <w:t>A small knowledge-guided feature and two business constraints improved retail sales forecasting without increasing architectural complexity. The improvement was concentrated outside promotional and school-holiday periods, showing both the value and the boundary of the encoded knowledge. The result supports further development of transparent hybrid decision-support systems for marketing performance.</w:t>
      </w:r>
    </w:p>
    <w:p>
      <w:pPr>
        <w:keepNext/>
        <w:spacing w:before="80" w:after="30"/>
      </w:pPr>
      <w:r>
        <w:rPr>
          <w:rFonts w:ascii="Times New Roman" w:hAnsi="Times New Roman"/>
          <w:b/>
          <w:i w:val="0"/>
          <w:color w:val="000000"/>
          <w:sz w:val="20"/>
        </w:rPr>
        <w:t>Declarations</w:t>
      </w:r>
    </w:p>
    <w:p>
      <w:pPr>
        <w:keepLines w:val="0"/>
        <w:spacing w:before="0" w:after="40" w:line="240" w:lineRule="auto"/>
      </w:pPr>
      <w:r>
        <w:rPr>
          <w:rFonts w:ascii="Times New Roman" w:hAnsi="Times New Roman"/>
          <w:b w:val="0"/>
          <w:i w:val="0"/>
          <w:color w:val="000000"/>
          <w:sz w:val="19"/>
        </w:rPr>
        <w:t>Funding: This research did not receive any specific grant from funding agencies in the public, commercial, or not-for-profit sectors. Competing interests: The author declares no competing interests. Data and code availability: Code is available in the companion GitHub repository; the Rossmann data are available from Kaggle [3]. CRediT: Bharat Kumar Vulugundam - Conceptualization, Methodology, Software, Formal analysis, Validation, Writing. Generative AI statement: During manuscript preparation, the author used OpenAI Codex to support drafting, coding, and language refinement. The author reviewed and edited the output and takes full responsibility for the article.</w:t>
      </w:r>
    </w:p>
    <w:p>
      <w:pPr>
        <w:keepNext/>
        <w:spacing w:before="80" w:after="30"/>
      </w:pPr>
      <w:r>
        <w:rPr>
          <w:rFonts w:ascii="Times New Roman" w:hAnsi="Times New Roman"/>
          <w:b/>
          <w:i w:val="0"/>
          <w:color w:val="000000"/>
          <w:sz w:val="20"/>
        </w:rPr>
        <w:t>References</w:t>
      </w:r>
    </w:p>
    <w:p>
      <w:pPr>
        <w:keepLines w:val="0"/>
        <w:spacing w:before="0" w:after="0" w:line="240" w:lineRule="auto"/>
      </w:pPr>
      <w:r>
        <w:rPr>
          <w:rFonts w:ascii="Times New Roman" w:hAnsi="Times New Roman"/>
          <w:b w:val="0"/>
          <w:i w:val="0"/>
          <w:color w:val="000000"/>
          <w:sz w:val="14"/>
        </w:rPr>
        <w:t>[1] S. Gabel, D. Guhl, D. Klapper, Joint in-season and out-of-season promotion demand forecasting in a retail environment, J. Retail. 97 (2021) 726-745. https://doi.org/10.1016/j.jretai.2021.01.003.</w:t>
      </w:r>
    </w:p>
    <w:p>
      <w:pPr>
        <w:keepLines w:val="0"/>
        <w:spacing w:before="0" w:after="0" w:line="240" w:lineRule="auto"/>
      </w:pPr>
      <w:r>
        <w:rPr>
          <w:rFonts w:ascii="Times New Roman" w:hAnsi="Times New Roman"/>
          <w:b w:val="0"/>
          <w:i w:val="0"/>
          <w:color w:val="000000"/>
          <w:sz w:val="14"/>
        </w:rPr>
        <w:t>[2] X. Qi, K. Hou, T. Liu, Z. Yu, S. Hu, W. Ou, From known to unknown: knowledge-guided Transformer for time-series sales forecasting in Alibaba, arXiv:2109.08381 (2021). https://doi.org/10.48550/arXiv.2109.08381.</w:t>
      </w:r>
    </w:p>
    <w:p>
      <w:pPr>
        <w:keepLines w:val="0"/>
        <w:spacing w:before="0" w:after="0" w:line="240" w:lineRule="auto"/>
      </w:pPr>
      <w:r>
        <w:rPr>
          <w:rFonts w:ascii="Times New Roman" w:hAnsi="Times New Roman"/>
          <w:b w:val="0"/>
          <w:i w:val="0"/>
          <w:color w:val="000000"/>
          <w:sz w:val="14"/>
        </w:rPr>
        <w:t>[3] Kaggle, Rossmann Store Sales: forecast sales using store, promotion, and competitor data, 2015. https://www.kaggle.com/competitions/rossmann-store-sales.</w:t>
      </w:r>
    </w:p>
    <w:p>
      <w:pPr>
        <w:keepLines w:val="0"/>
        <w:spacing w:before="0" w:after="0" w:line="240" w:lineRule="auto"/>
      </w:pPr>
      <w:r>
        <w:rPr>
          <w:rFonts w:ascii="Times New Roman" w:hAnsi="Times New Roman"/>
          <w:b w:val="0"/>
          <w:i w:val="0"/>
          <w:color w:val="000000"/>
          <w:sz w:val="14"/>
        </w:rPr>
        <w:t>[4] J.H. Friedman, Greedy function approximation: a gradient boosting machine, Ann. Stat. 29 (2001) 1189-1232. https://doi.org/10.1214/aos/1013203451.</w:t>
      </w:r>
    </w:p>
    <w:p>
      <w:pPr>
        <w:keepLines w:val="0"/>
        <w:spacing w:before="0" w:after="0" w:line="240" w:lineRule="auto"/>
      </w:pPr>
      <w:r>
        <w:rPr>
          <w:rFonts w:ascii="Times New Roman" w:hAnsi="Times New Roman"/>
          <w:b w:val="0"/>
          <w:i w:val="0"/>
          <w:color w:val="000000"/>
          <w:sz w:val="14"/>
        </w:rPr>
        <w:t>[5] F. Pedregosa et al., Scikit-learn: machine learning in Python, J. Mach. Learn. Res. 12 (2011) 2825-2830.</w:t>
      </w:r>
    </w:p>
    <w:sectPr w:rsidR="00FC693F" w:rsidRPr="0006063C" w:rsidSect="00034616">
      <w:footerReference w:type="default" r:id="rId9"/>
      <w:pgSz w:w="12240" w:h="15840"/>
      <w:pgMar w:top="691" w:right="835" w:bottom="691" w:left="835"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000000"/>
        <w:sz w:val="15"/>
      </w:rPr>
      <w:t xml:space="preserve">Short Communication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