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5"/>
        <w:numPr>
          <w:ilvl w:val="0"/>
          <w:numId w:val="2"/>
        </w:numPr>
        <w:ind w:hanging="0"/>
        <w:rPr/>
      </w:pPr>
      <w:r>
        <w:rPr/>
        <w:t>首页受理中心和 其他中心合并</w:t>
      </w:r>
      <w:r>
        <w:rPr>
          <w:rFonts w:ascii="宋体" w:hAnsi="宋体"/>
          <w:b/>
          <w:i w:val="false"/>
          <w:strike w:val="false"/>
          <w:dstrike w:val="false"/>
          <w:outline w:val="false"/>
          <w:shadow w:val="false"/>
          <w:color w:val="000000"/>
          <w:sz w:val="21"/>
          <w:u w:val="none"/>
          <w:em w:val="none"/>
        </w:rPr>
        <w:t>中心社区工作者</w:t>
      </w:r>
    </w:p>
    <w:p>
      <w:pPr>
        <w:pStyle w:val="Style15"/>
        <w:ind w:hanging="0"/>
        <w:rPr/>
      </w:pPr>
      <w:r>
        <w:rPr>
          <w:rFonts w:ascii="宋体" w:hAnsi="宋体"/>
          <w:b/>
          <w:i w:val="false"/>
          <w:strike w:val="false"/>
          <w:dstrike w:val="false"/>
          <w:outline w:val="false"/>
          <w:shadow w:val="false"/>
          <w:color w:val="000000"/>
          <w:sz w:val="21"/>
          <w:u w:val="none"/>
          <w:em w:val="none"/>
        </w:rPr>
        <w:t>先</w:t>
      </w:r>
      <w:r>
        <w:rPr>
          <w:rFonts w:ascii="宋体" w:hAnsi="宋体"/>
          <w:b/>
          <w:i w:val="false"/>
          <w:strike w:val="false"/>
          <w:dstrike w:val="false"/>
          <w:outline w:val="false"/>
          <w:shadow w:val="false"/>
          <w:color w:val="000000"/>
          <w:sz w:val="21"/>
          <w:u w:val="none"/>
          <w:em w:val="none"/>
        </w:rPr>
        <w:drawing>
          <wp:inline distT="0" distB="0" distL="0" distR="0">
            <wp:extent cx="5274310" cy="422275"/>
            <wp:effectExtent l="0" t="0" r="0" b="0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ind w:hanging="0"/>
        <w:rPr/>
      </w:pPr>
      <w:r>
        <w:rPr>
          <w:rFonts w:ascii="宋体" w:hAnsi="宋体"/>
          <w:b/>
          <w:i w:val="false"/>
          <w:strike w:val="false"/>
          <w:dstrike w:val="false"/>
          <w:outline w:val="false"/>
          <w:shadow w:val="false"/>
          <w:color w:val="000000"/>
          <w:sz w:val="21"/>
          <w:u w:val="none"/>
          <w:em w:val="none"/>
        </w:rPr>
        <w:t>修改后见表（</w:t>
      </w:r>
      <w:r>
        <w:rPr>
          <w:rFonts w:ascii="宋体" w:hAnsi="宋体"/>
          <w:b/>
          <w:i w:val="false"/>
          <w:strike w:val="false"/>
          <w:dstrike w:val="false"/>
          <w:outline w:val="false"/>
          <w:shadow w:val="false"/>
          <w:color w:val="000000"/>
          <w:sz w:val="21"/>
          <w:u w:val="none"/>
          <w:em w:val="none"/>
        </w:rPr>
        <w:t>1</w:t>
      </w:r>
      <w:r>
        <w:rPr>
          <w:rFonts w:ascii="宋体" w:hAnsi="宋体"/>
          <w:b/>
          <w:i w:val="false"/>
          <w:strike w:val="false"/>
          <w:dstrike w:val="false"/>
          <w:outline w:val="false"/>
          <w:shadow w:val="false"/>
          <w:color w:val="000000"/>
          <w:sz w:val="21"/>
          <w:u w:val="none"/>
          <w:em w:val="none"/>
        </w:rPr>
        <w:t>）</w:t>
      </w:r>
    </w:p>
    <w:p>
      <w:pPr>
        <w:pStyle w:val="Style14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Style15"/>
        <w:numPr>
          <w:ilvl w:val="0"/>
          <w:numId w:val="2"/>
        </w:numPr>
        <w:ind w:hanging="0"/>
        <w:rPr/>
      </w:pPr>
      <w:r>
        <w:rPr/>
        <w:t>编制额度受理中心和其他中心合并</w:t>
      </w:r>
      <w:r>
        <w:rPr>
          <w:rFonts w:ascii="宋体" w:hAnsi="宋体"/>
          <w:b/>
          <w:i w:val="false"/>
          <w:strike w:val="false"/>
          <w:dstrike w:val="false"/>
          <w:outline w:val="false"/>
          <w:shadow w:val="false"/>
          <w:color w:val="000000"/>
          <w:sz w:val="21"/>
          <w:u w:val="none"/>
          <w:em w:val="none"/>
        </w:rPr>
        <w:t>中心社区工作者</w:t>
      </w:r>
    </w:p>
    <w:p>
      <w:pPr>
        <w:pStyle w:val="Style15"/>
        <w:ind w:hanging="0"/>
        <w:rPr/>
      </w:pPr>
      <w:r>
        <w:rPr>
          <w:rFonts w:ascii="宋体" w:hAnsi="宋体"/>
          <w:b/>
          <w:i w:val="false"/>
          <w:strike w:val="false"/>
          <w:dstrike w:val="false"/>
          <w:outline w:val="false"/>
          <w:shadow w:val="false"/>
          <w:color w:val="000000"/>
          <w:sz w:val="21"/>
          <w:u w:val="none"/>
          <w:em w:val="none"/>
        </w:rPr>
        <w:t>先</w:t>
      </w:r>
      <w:r>
        <w:rPr>
          <w:rFonts w:ascii="宋体" w:hAnsi="宋体"/>
          <w:b/>
          <w:i w:val="false"/>
          <w:strike w:val="false"/>
          <w:dstrike w:val="false"/>
          <w:outline w:val="false"/>
          <w:shadow w:val="false"/>
          <w:color w:val="000000"/>
          <w:sz w:val="21"/>
          <w:u w:val="none"/>
          <w:em w:val="none"/>
        </w:rPr>
        <w:drawing>
          <wp:inline distT="0" distB="0" distL="0" distR="0">
            <wp:extent cx="5274310" cy="466725"/>
            <wp:effectExtent l="0" t="0" r="0" b="0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ind w:hanging="0"/>
        <w:rPr/>
      </w:pPr>
      <w:r>
        <w:rPr>
          <w:rFonts w:ascii="宋体" w:hAnsi="宋体"/>
          <w:b/>
          <w:i w:val="false"/>
          <w:strike w:val="false"/>
          <w:dstrike w:val="false"/>
          <w:outline w:val="false"/>
          <w:shadow w:val="false"/>
          <w:color w:val="000000"/>
          <w:sz w:val="21"/>
          <w:u w:val="none"/>
          <w:em w:val="none"/>
        </w:rPr>
        <w:t>修改后见表</w:t>
      </w:r>
      <w:r>
        <w:rPr>
          <w:rFonts w:ascii="宋体" w:hAnsi="宋体"/>
          <w:b/>
          <w:i w:val="false"/>
          <w:strike w:val="false"/>
          <w:dstrike w:val="false"/>
          <w:outline w:val="false"/>
          <w:shadow w:val="false"/>
          <w:color w:val="000000"/>
          <w:sz w:val="21"/>
          <w:u w:val="none"/>
          <w:em w:val="none"/>
        </w:rPr>
        <w:t>2</w:t>
      </w:r>
    </w:p>
    <w:p>
      <w:pPr>
        <w:pStyle w:val="Style14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Style15"/>
        <w:numPr>
          <w:ilvl w:val="0"/>
          <w:numId w:val="2"/>
        </w:numPr>
        <w:ind w:hanging="0"/>
        <w:rPr/>
      </w:pPr>
      <w:r>
        <w:rPr/>
        <w:t xml:space="preserve">额度使用审批里面的表四 两个中心合并成一个 </w:t>
      </w:r>
      <w:r>
        <w:rPr>
          <w:rFonts w:ascii="宋体" w:hAnsi="宋体"/>
          <w:b/>
          <w:i w:val="false"/>
          <w:strike w:val="false"/>
          <w:dstrike w:val="false"/>
          <w:outline w:val="false"/>
          <w:shadow w:val="false"/>
          <w:color w:val="000000"/>
          <w:sz w:val="21"/>
          <w:u w:val="none"/>
          <w:em w:val="none"/>
        </w:rPr>
        <w:t>中心社区工作者</w:t>
      </w:r>
    </w:p>
    <w:p>
      <w:pPr>
        <w:pStyle w:val="Style14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Style15"/>
        <w:numPr>
          <w:ilvl w:val="0"/>
          <w:numId w:val="2"/>
        </w:numPr>
        <w:ind w:hanging="0"/>
        <w:rPr/>
      </w:pPr>
      <w:r>
        <w:rPr/>
        <w:t>额度使用审批</w:t>
      </w:r>
      <w:r>
        <w:rPr/>
        <w:t>-</w:t>
      </w:r>
      <w:r>
        <w:rPr/>
        <w:t>新建</w:t>
      </w:r>
    </w:p>
    <w:p>
      <w:pPr>
        <w:pStyle w:val="Style14"/>
        <w:rPr/>
      </w:pPr>
      <w:r>
        <w:rPr/>
        <w:t>1</w:t>
      </w:r>
      <w:r>
        <w:rPr/>
        <w:t>、新建</w:t>
      </w:r>
      <w:r>
        <w:rPr/>
        <w:t>-</w:t>
      </w:r>
      <w:r>
        <w:rPr/>
        <w:t>第一步</w:t>
      </w:r>
    </w:p>
    <w:p>
      <w:pPr>
        <w:pStyle w:val="Style15"/>
        <w:numPr>
          <w:ilvl w:val="0"/>
          <w:numId w:val="3"/>
        </w:numPr>
        <w:ind w:hanging="0"/>
        <w:rPr/>
      </w:pPr>
      <w:r>
        <w:rPr/>
        <w:t>自动带出街道各类岗位基数和实有人数</w:t>
      </w:r>
    </w:p>
    <w:p>
      <w:pPr>
        <w:pStyle w:val="Style15"/>
        <w:numPr>
          <w:ilvl w:val="0"/>
          <w:numId w:val="3"/>
        </w:numPr>
        <w:ind w:hanging="0"/>
        <w:rPr/>
      </w:pPr>
      <w:r>
        <w:rPr/>
        <w:t>手动填写员额申请数字</w:t>
      </w:r>
    </w:p>
    <w:p>
      <w:pPr>
        <w:pStyle w:val="Style14"/>
        <w:ind w:left="720" w:hanging="0"/>
        <w:rPr/>
      </w:pPr>
      <w:r>
        <w:rPr/>
        <w:drawing>
          <wp:inline distT="0" distB="0" distL="0" distR="0">
            <wp:extent cx="5270500" cy="1358265"/>
            <wp:effectExtent l="0" t="0" r="0" b="0"/>
            <wp:docPr id="3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ind w:left="720" w:hanging="0"/>
        <w:jc w:val="center"/>
        <w:rPr/>
      </w:pPr>
      <w:r>
        <w:rPr/>
        <w:drawing>
          <wp:inline distT="0" distB="0" distL="0" distR="0">
            <wp:extent cx="1759585" cy="447675"/>
            <wp:effectExtent l="0" t="0" r="0" b="0"/>
            <wp:docPr id="4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8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rPr/>
      </w:pPr>
      <w:r>
        <w:rPr/>
        <w:t>2</w:t>
      </w:r>
      <w:r>
        <w:rPr/>
        <w:t>、新建</w:t>
      </w:r>
      <w:r>
        <w:rPr/>
        <w:t>-</w:t>
      </w:r>
      <w:r>
        <w:rPr/>
        <w:t>第二步</w:t>
      </w:r>
    </w:p>
    <w:p>
      <w:pPr>
        <w:pStyle w:val="Style14"/>
        <w:rPr/>
      </w:pPr>
      <w:r>
        <w:rPr/>
        <w:t>1</w:t>
      </w:r>
      <w:r>
        <w:rPr/>
        <w:t>）上半部分，带出上一步员额申请的数字，黄色部分根据招考简章自动计算</w:t>
      </w:r>
    </w:p>
    <w:p>
      <w:pPr>
        <w:pStyle w:val="Style14"/>
        <w:rPr/>
      </w:pPr>
      <w:r>
        <w:rPr/>
        <w:t>2</w:t>
      </w:r>
      <w:r>
        <w:rPr/>
        <w:t>）下半部分，用户自行添加招考简章，单条添加，有几个简章就添加几个。简章内容完全相同的，可修改招聘人数。前面单位、人员分类、岗位分类 非合并显示。</w:t>
      </w:r>
    </w:p>
    <w:p>
      <w:pPr>
        <w:pStyle w:val="Style14"/>
        <w:rPr/>
      </w:pPr>
      <w:r>
        <w:rPr/>
        <w:drawing>
          <wp:inline distT="0" distB="0" distL="0" distR="0">
            <wp:extent cx="5274310" cy="1213485"/>
            <wp:effectExtent l="0" t="0" r="0" b="0"/>
            <wp:docPr id="5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rPr/>
      </w:pPr>
      <w:r>
        <w:rPr/>
        <w:drawing>
          <wp:inline distT="0" distB="0" distL="0" distR="0">
            <wp:extent cx="5460365" cy="1388745"/>
            <wp:effectExtent l="0" t="0" r="0" b="0"/>
            <wp:docPr id="6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jc w:val="center"/>
        <w:rPr/>
      </w:pPr>
      <w:r>
        <w:rPr/>
        <w:drawing>
          <wp:inline distT="0" distB="0" distL="0" distR="0">
            <wp:extent cx="2303145" cy="405765"/>
            <wp:effectExtent l="0" t="0" r="0" b="0"/>
            <wp:docPr id="7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jc w:val="center"/>
        <w:rPr/>
      </w:pPr>
      <w:r>
        <w:rPr/>
      </w:r>
    </w:p>
    <w:p>
      <w:pPr>
        <w:pStyle w:val="Style14"/>
        <w:jc w:val="center"/>
        <w:rPr/>
      </w:pPr>
      <w:r>
        <w:rPr/>
      </w:r>
    </w:p>
    <w:p>
      <w:pPr>
        <w:pStyle w:val="Style14"/>
        <w:jc w:val="center"/>
        <w:rPr/>
      </w:pPr>
      <w:r>
        <w:rPr/>
      </w:r>
    </w:p>
    <w:p>
      <w:pPr>
        <w:pStyle w:val="Style14"/>
        <w:jc w:val="left"/>
        <w:rPr/>
      </w:pPr>
      <w:r>
        <w:rPr/>
        <w:t>3</w:t>
      </w:r>
      <w:r>
        <w:rPr/>
        <w:t>、地区办审核</w:t>
      </w:r>
    </w:p>
    <w:p>
      <w:pPr>
        <w:pStyle w:val="Style14"/>
        <w:jc w:val="left"/>
        <w:rPr/>
      </w:pPr>
      <w:r>
        <w:rPr/>
        <w:t>1</w:t>
      </w:r>
      <w:r>
        <w:rPr/>
        <w:t>）三个表放在一个页面显示审核</w:t>
      </w:r>
    </w:p>
    <w:p>
      <w:pPr>
        <w:pStyle w:val="Style14"/>
        <w:jc w:val="left"/>
        <w:rPr/>
      </w:pPr>
      <w:r>
        <w:rPr/>
        <w:drawing>
          <wp:inline distT="0" distB="0" distL="0" distR="0">
            <wp:extent cx="5270500" cy="1358265"/>
            <wp:effectExtent l="0" t="0" r="0" b="0"/>
            <wp:docPr id="8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jc w:val="left"/>
        <w:rPr/>
      </w:pPr>
      <w:r>
        <w:rPr/>
        <w:drawing>
          <wp:inline distT="0" distB="0" distL="0" distR="0">
            <wp:extent cx="5270500" cy="1212850"/>
            <wp:effectExtent l="0" t="0" r="0" b="0"/>
            <wp:docPr id="9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jc w:val="left"/>
        <w:rPr/>
      </w:pPr>
      <w:r>
        <w:rPr/>
        <w:drawing>
          <wp:inline distT="0" distB="0" distL="0" distR="0">
            <wp:extent cx="5270500" cy="1339850"/>
            <wp:effectExtent l="0" t="0" r="0" b="0"/>
            <wp:docPr id="10" name="图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jc w:val="left"/>
        <w:rPr/>
      </w:pPr>
      <w:r>
        <w:rPr/>
      </w:r>
    </w:p>
    <w:p>
      <w:pPr>
        <w:pStyle w:val="Style15"/>
        <w:numPr>
          <w:ilvl w:val="0"/>
          <w:numId w:val="2"/>
        </w:numPr>
        <w:ind w:hanging="0"/>
        <w:jc w:val="left"/>
        <w:rPr/>
      </w:pPr>
      <w:r>
        <w:rPr/>
        <w:t>额度使用汇总（只汇总审批通过的数字）</w:t>
      </w:r>
    </w:p>
    <w:p>
      <w:pPr>
        <w:pStyle w:val="Style15"/>
        <w:numPr>
          <w:ilvl w:val="0"/>
          <w:numId w:val="4"/>
        </w:numPr>
        <w:ind w:hanging="0"/>
        <w:jc w:val="left"/>
        <w:rPr/>
      </w:pPr>
      <w:r>
        <w:rPr/>
        <w:t>杨浦区</w:t>
      </w:r>
      <w:r>
        <w:rPr/>
        <w:t>2021</w:t>
      </w:r>
      <w:r>
        <w:rPr/>
        <w:t>年度社区工作者招录员额统计表</w:t>
      </w:r>
    </w:p>
    <w:p>
      <w:pPr>
        <w:pStyle w:val="Style15"/>
        <w:ind w:left="720" w:hanging="0"/>
        <w:jc w:val="left"/>
        <w:rPr/>
      </w:pPr>
      <w:r>
        <w:rPr/>
        <w:t>1</w:t>
      </w:r>
      <w:r>
        <w:rPr/>
        <w:t>）街道员额为</w:t>
      </w:r>
      <w:r>
        <w:rPr/>
        <w:t xml:space="preserve">0 </w:t>
      </w:r>
      <w:r>
        <w:rPr/>
        <w:t>，也要显示</w:t>
      </w:r>
    </w:p>
    <w:p>
      <w:pPr>
        <w:pStyle w:val="Style14"/>
        <w:jc w:val="left"/>
        <w:rPr/>
      </w:pPr>
      <w:r>
        <w:rPr/>
        <w:drawing>
          <wp:inline distT="0" distB="0" distL="0" distR="0">
            <wp:extent cx="4390390" cy="2477770"/>
            <wp:effectExtent l="0" t="0" r="0" b="0"/>
            <wp:docPr id="11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jc w:val="left"/>
        <w:rPr/>
      </w:pPr>
      <w:r>
        <w:rPr/>
      </w:r>
    </w:p>
    <w:p>
      <w:pPr>
        <w:pStyle w:val="Style14"/>
        <w:jc w:val="left"/>
        <w:rPr/>
      </w:pPr>
      <w:r>
        <w:rPr/>
        <w:t>2</w:t>
      </w:r>
      <w:r>
        <w:rPr/>
        <w:t>、杨浦区</w:t>
      </w:r>
      <w:r>
        <w:rPr/>
        <w:t>2021</w:t>
      </w:r>
      <w:r>
        <w:rPr/>
        <w:t>年度社区工作者招录额度明细表</w:t>
      </w:r>
    </w:p>
    <w:p>
      <w:pPr>
        <w:pStyle w:val="Style14"/>
        <w:jc w:val="left"/>
        <w:rPr/>
      </w:pPr>
      <w:r>
        <w:rPr/>
        <w:t>1</w:t>
      </w:r>
      <w:r>
        <w:rPr/>
        <w:t>）街道招录为</w:t>
      </w:r>
      <w:r>
        <w:rPr/>
        <w:t xml:space="preserve">0 </w:t>
      </w:r>
      <w:r>
        <w:rPr/>
        <w:t>，也要显示</w:t>
      </w:r>
    </w:p>
    <w:p>
      <w:pPr>
        <w:pStyle w:val="Style14"/>
        <w:jc w:val="left"/>
        <w:rPr/>
      </w:pPr>
      <w:r>
        <w:rPr/>
      </w:r>
    </w:p>
    <w:p>
      <w:pPr>
        <w:pStyle w:val="Style14"/>
        <w:jc w:val="left"/>
        <w:rPr/>
      </w:pPr>
      <w:r>
        <w:rPr/>
        <w:drawing>
          <wp:inline distT="0" distB="0" distL="0" distR="0">
            <wp:extent cx="5270500" cy="3220720"/>
            <wp:effectExtent l="0" t="0" r="0" b="0"/>
            <wp:docPr id="12" name="图片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jc w:val="left"/>
        <w:rPr/>
      </w:pPr>
      <w:r>
        <w:rPr/>
      </w:r>
    </w:p>
    <w:p>
      <w:pPr>
        <w:pStyle w:val="Style15"/>
        <w:numPr>
          <w:ilvl w:val="0"/>
          <w:numId w:val="4"/>
        </w:numPr>
        <w:ind w:hanging="0"/>
        <w:jc w:val="left"/>
        <w:rPr/>
      </w:pPr>
      <w:r>
        <w:rPr/>
        <w:t>杨浦区</w:t>
      </w:r>
      <w:r>
        <w:rPr/>
        <w:t>2021</w:t>
      </w:r>
      <w:r>
        <w:rPr/>
        <w:t>年度社区工作者招考简章</w:t>
      </w:r>
    </w:p>
    <w:p>
      <w:pPr>
        <w:pStyle w:val="Style14"/>
        <w:jc w:val="left"/>
        <w:rPr/>
      </w:pPr>
      <w:r>
        <w:rPr/>
        <w:t>1</w:t>
      </w:r>
      <w:r>
        <w:rPr/>
        <w:t>）只汇总填报过的招考简章</w:t>
      </w:r>
    </w:p>
    <w:p>
      <w:pPr>
        <w:pStyle w:val="Style14"/>
        <w:jc w:val="left"/>
        <w:rPr/>
      </w:pPr>
      <w:r>
        <w:rPr/>
        <w:drawing>
          <wp:inline distT="0" distB="0" distL="0" distR="0">
            <wp:extent cx="5270500" cy="1192530"/>
            <wp:effectExtent l="0" t="0" r="0" b="0"/>
            <wp:docPr id="13" name="图片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jc w:val="left"/>
        <w:rPr>
          <w:lang w:val="en-US" w:eastAsia="zh-CN"/>
        </w:rPr>
      </w:pPr>
      <w:r>
        <w:rPr>
          <w:lang w:val="en-US" w:eastAsia="zh-CN"/>
        </w:rPr>
        <w:t>三</w:t>
      </w:r>
      <w:r>
        <w:rPr>
          <w:lang w:val="en-US" w:eastAsia="zh-CN"/>
        </w:rPr>
        <w:t>.</w:t>
      </w:r>
    </w:p>
    <w:p>
      <w:pPr>
        <w:pStyle w:val="Style14"/>
        <w:jc w:val="left"/>
        <w:rPr>
          <w:rFonts w:eastAsia="DengXian" w:eastAsiaTheme="minorEastAsia"/>
          <w:lang w:eastAsia="zh-CN"/>
        </w:rPr>
      </w:pPr>
      <w:r>
        <w:rPr/>
        <w:drawing>
          <wp:inline distT="0" distB="0" distL="0" distR="0">
            <wp:extent cx="5260975" cy="2218690"/>
            <wp:effectExtent l="0" t="0" r="0" b="0"/>
            <wp:docPr id="14" name="图片 2" descr="f0cdf81ee29c35c5f2199cfef4df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f0cdf81ee29c35c5f2199cfef4df46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jc w:val="left"/>
        <w:rPr>
          <w:lang w:val="en-US" w:eastAsia="zh-CN"/>
        </w:rPr>
      </w:pPr>
      <w:r>
        <w:rPr>
          <w:lang w:val="en-US" w:eastAsia="zh-CN"/>
        </w:rPr>
        <w:t xml:space="preserve">四 </w:t>
      </w:r>
    </w:p>
    <w:p>
      <w:pPr>
        <w:pStyle w:val="Style14"/>
        <w:jc w:val="left"/>
        <w:rPr>
          <w:lang w:val="en-US" w:eastAsia="zh-CN"/>
        </w:rPr>
      </w:pPr>
      <w:r>
        <w:rPr/>
      </w:r>
    </w:p>
    <w:p>
      <w:pPr>
        <w:pStyle w:val="Style14"/>
        <w:jc w:val="left"/>
        <w:rPr>
          <w:lang w:val="en-US" w:eastAsia="zh-CN"/>
        </w:rPr>
      </w:pPr>
      <w:r>
        <w:rPr>
          <w:lang w:val="en-US" w:eastAsia="zh-CN"/>
        </w:rPr>
        <w:t>人员分类（下拉</w:t>
      </w:r>
      <w:r>
        <w:rPr>
          <w:lang w:val="en-US" w:eastAsia="zh-CN"/>
        </w:rPr>
        <w:t>3</w:t>
      </w:r>
      <w:r>
        <w:rPr>
          <w:lang w:val="en-US" w:eastAsia="zh-CN"/>
        </w:rPr>
        <w:t>个选项）：只是在招录简章里面下拉选项中使用 就是把其他中心分成了</w:t>
      </w:r>
      <w:r>
        <w:rPr>
          <w:lang w:val="en-US" w:eastAsia="zh-CN"/>
        </w:rPr>
        <w:t>4</w:t>
      </w:r>
      <w:r>
        <w:rPr>
          <w:lang w:val="en-US" w:eastAsia="zh-CN"/>
        </w:rPr>
        <w:t>个出来</w:t>
      </w:r>
    </w:p>
    <w:p>
      <w:pPr>
        <w:pStyle w:val="Style14"/>
        <w:jc w:val="left"/>
        <w:rPr>
          <w:lang w:val="en-US" w:eastAsia="zh-CN"/>
        </w:rPr>
      </w:pPr>
      <w:r>
        <w:rPr>
          <w:lang w:val="en-US" w:eastAsia="zh-CN"/>
        </w:rPr>
        <w:t>1.</w:t>
      </w:r>
      <w:r>
        <w:rPr>
          <w:lang w:val="en-US" w:eastAsia="zh-CN"/>
        </w:rPr>
        <w:t>中心社区工作者；</w:t>
      </w:r>
      <w:r>
        <w:rPr>
          <w:lang w:val="en-US" w:eastAsia="zh-CN"/>
        </w:rPr>
        <w:t>2.</w:t>
      </w:r>
      <w:r>
        <w:rPr>
          <w:lang w:val="en-US" w:eastAsia="zh-CN"/>
        </w:rPr>
        <w:t>社区专职党群工作者；</w:t>
      </w:r>
      <w:r>
        <w:rPr>
          <w:lang w:val="en-US" w:eastAsia="zh-CN"/>
        </w:rPr>
        <w:t>3.</w:t>
      </w:r>
      <w:r>
        <w:rPr>
          <w:lang w:val="en-US" w:eastAsia="zh-CN"/>
        </w:rPr>
        <w:t>居民区社区工作者。</w:t>
      </w:r>
    </w:p>
    <w:p>
      <w:pPr>
        <w:pStyle w:val="Style14"/>
        <w:jc w:val="left"/>
        <w:rPr>
          <w:lang w:val="en-US" w:eastAsia="zh-CN"/>
        </w:rPr>
      </w:pPr>
      <w:r>
        <w:rPr>
          <w:lang w:val="en-US" w:eastAsia="zh-CN"/>
        </w:rPr>
        <w:t>岗位分类（下拉</w:t>
      </w:r>
      <w:r>
        <w:rPr>
          <w:lang w:val="en-US" w:eastAsia="zh-CN"/>
        </w:rPr>
        <w:t>8</w:t>
      </w:r>
      <w:r>
        <w:rPr>
          <w:lang w:val="en-US" w:eastAsia="zh-CN"/>
        </w:rPr>
        <w:t>个选项）：</w:t>
      </w:r>
    </w:p>
    <w:p>
      <w:pPr>
        <w:pStyle w:val="Style14"/>
        <w:jc w:val="left"/>
        <w:rPr>
          <w:lang w:val="en-US" w:eastAsia="zh-CN"/>
        </w:rPr>
      </w:pPr>
      <w:r>
        <w:rPr>
          <w:lang w:val="en-US" w:eastAsia="zh-CN"/>
        </w:rPr>
        <w:t>中心社区工作者对应的</w:t>
      </w:r>
      <w:r>
        <w:rPr>
          <w:lang w:val="en-US" w:eastAsia="zh-CN"/>
        </w:rPr>
        <w:t>5</w:t>
      </w:r>
      <w:r>
        <w:rPr>
          <w:lang w:val="en-US" w:eastAsia="zh-CN"/>
        </w:rPr>
        <w:t>个选项：</w:t>
      </w:r>
    </w:p>
    <w:p>
      <w:pPr>
        <w:pStyle w:val="Style14"/>
        <w:jc w:val="left"/>
        <w:rPr>
          <w:lang w:val="en-US" w:eastAsia="zh-CN"/>
        </w:rPr>
      </w:pPr>
      <w:r>
        <w:rPr>
          <w:lang w:val="en-US" w:eastAsia="zh-CN"/>
        </w:rPr>
        <w:t>1.</w:t>
      </w:r>
      <w:r>
        <w:rPr>
          <w:lang w:val="en-US" w:eastAsia="zh-CN"/>
        </w:rPr>
        <w:t>社区事务受理中心；</w:t>
      </w:r>
      <w:r>
        <w:rPr>
          <w:lang w:val="en-US" w:eastAsia="zh-CN"/>
        </w:rPr>
        <w:t>2.</w:t>
      </w:r>
      <w:r>
        <w:rPr>
          <w:lang w:val="en-US" w:eastAsia="zh-CN"/>
        </w:rPr>
        <w:t>社区文化活动中心；</w:t>
      </w:r>
      <w:r>
        <w:rPr>
          <w:lang w:val="en-US" w:eastAsia="zh-CN"/>
        </w:rPr>
        <w:t>3.</w:t>
      </w:r>
      <w:r>
        <w:rPr>
          <w:lang w:val="en-US" w:eastAsia="zh-CN"/>
        </w:rPr>
        <w:t>城市运行管理中心；</w:t>
      </w:r>
      <w:r>
        <w:rPr>
          <w:lang w:val="en-US" w:eastAsia="zh-CN"/>
        </w:rPr>
        <w:t>4.</w:t>
      </w:r>
      <w:r>
        <w:rPr>
          <w:lang w:val="en-US" w:eastAsia="zh-CN"/>
        </w:rPr>
        <w:t>社区党建服务中心；</w:t>
      </w:r>
      <w:r>
        <w:rPr>
          <w:lang w:val="en-US" w:eastAsia="zh-CN"/>
        </w:rPr>
        <w:t>5.</w:t>
      </w:r>
      <w:r>
        <w:rPr>
          <w:lang w:val="en-US" w:eastAsia="zh-CN"/>
        </w:rPr>
        <w:t>社会治安综合治理中心。</w:t>
      </w:r>
    </w:p>
    <w:p>
      <w:pPr>
        <w:pStyle w:val="Style14"/>
        <w:jc w:val="left"/>
        <w:rPr>
          <w:lang w:val="en-US" w:eastAsia="zh-CN"/>
        </w:rPr>
      </w:pPr>
      <w:r>
        <w:rPr>
          <w:lang w:val="en-US" w:eastAsia="zh-CN"/>
        </w:rPr>
        <w:t>社区专职党群工作者对应的</w:t>
      </w:r>
      <w:r>
        <w:rPr>
          <w:lang w:val="en-US" w:eastAsia="zh-CN"/>
        </w:rPr>
        <w:t>2</w:t>
      </w:r>
      <w:r>
        <w:rPr>
          <w:lang w:val="en-US" w:eastAsia="zh-CN"/>
        </w:rPr>
        <w:t>个选项：</w:t>
      </w:r>
    </w:p>
    <w:p>
      <w:pPr>
        <w:pStyle w:val="Style14"/>
        <w:jc w:val="left"/>
        <w:rPr>
          <w:lang w:val="en-US" w:eastAsia="zh-CN"/>
        </w:rPr>
      </w:pPr>
      <w:r>
        <w:rPr>
          <w:lang w:val="en-US" w:eastAsia="zh-CN"/>
        </w:rPr>
        <w:t>1.“</w:t>
      </w:r>
      <w:r>
        <w:rPr>
          <w:lang w:val="en-US" w:eastAsia="zh-CN"/>
        </w:rPr>
        <w:t>两新”组织专职党群工作者；</w:t>
      </w:r>
      <w:r>
        <w:rPr>
          <w:lang w:val="en-US" w:eastAsia="zh-CN"/>
        </w:rPr>
        <w:t>2.</w:t>
      </w:r>
      <w:r>
        <w:rPr>
          <w:lang w:val="en-US" w:eastAsia="zh-CN"/>
        </w:rPr>
        <w:t>居民区专职党务工作者。</w:t>
      </w:r>
    </w:p>
    <w:p>
      <w:pPr>
        <w:pStyle w:val="Style14"/>
        <w:jc w:val="left"/>
        <w:rPr>
          <w:lang w:val="en-US" w:eastAsia="zh-CN"/>
        </w:rPr>
      </w:pPr>
      <w:r>
        <w:rPr>
          <w:lang w:val="en-US" w:eastAsia="zh-CN"/>
        </w:rPr>
        <w:t>居民区社区工作者对应的</w:t>
      </w:r>
      <w:r>
        <w:rPr>
          <w:lang w:val="en-US" w:eastAsia="zh-CN"/>
        </w:rPr>
        <w:t>1</w:t>
      </w:r>
      <w:r>
        <w:rPr>
          <w:lang w:val="en-US" w:eastAsia="zh-CN"/>
        </w:rPr>
        <w:t>个选项：居民区社区工作者。</w:t>
      </w:r>
    </w:p>
    <w:p>
      <w:pPr>
        <w:pStyle w:val="Style14"/>
        <w:jc w:val="left"/>
        <w:rPr>
          <w:lang w:val="en-US" w:eastAsia="zh-CN"/>
        </w:rPr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423" w:charSpace="4915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libri">
    <w:charset w:val="86"/>
    <w:family w:val="roman"/>
    <w:pitch w:val="variable"/>
  </w:font>
  <w:font w:name="DengXian">
    <w:charset w:val="86"/>
    <w:family w:val="roman"/>
    <w:pitch w:val="variable"/>
  </w:font>
  <w:font w:name="宋体">
    <w:charset w:val="86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taiwaneseCountingThousand"/>
      <w:lvlText w:val="%1、"/>
      <w:lvlJc w:val="left"/>
      <w:pPr>
        <w:tabs>
          <w:tab w:val="num" w:pos="0"/>
        </w:tabs>
        <w:ind w:left="720" w:hanging="72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</w:lvl>
  </w:abstractNum>
  <w:abstractNum w:abstractNumId="3">
    <w:lvl w:ilvl="0">
      <w:start w:val="1"/>
      <w:numFmt w:val="decimal"/>
      <w:lvlText w:val="%1）"/>
      <w:lvlJc w:val="left"/>
      <w:pPr>
        <w:tabs>
          <w:tab w:val="num" w:pos="0"/>
        </w:tabs>
        <w:ind w:left="1440" w:hanging="72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560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980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400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82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24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66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408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500" w:hanging="420"/>
      </w:pPr>
    </w:lvl>
  </w:abstractNum>
  <w:abstractNum w:abstractNumId="4">
    <w:lvl w:ilvl="0">
      <w:start w:val="1"/>
      <w:numFmt w:val="decimal"/>
      <w:lvlText w:val="%1、"/>
      <w:lvlJc w:val="left"/>
      <w:pPr>
        <w:tabs>
          <w:tab w:val="num" w:pos="0"/>
        </w:tabs>
        <w:ind w:left="720" w:hanging="72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367"/>
  <w:autoHyphenation w:val="true"/>
  <w:compat>
    <w:doNotExpandShiftReturn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DengXian" w:hAnsi="DengXian" w:eastAsia="DengXian" w:cs="" w:asciiTheme="minorHAnsi" w:cstheme="minorBidi" w:eastAsiaTheme="minorEastAsia" w:hAnsiTheme="minorHAnsi"/>
        <w:lang w:val="en-US" w:eastAsia="zh-CN" w:bidi="hi-IN"/>
      </w:rPr>
    </w:rPrDefault>
    <w:pPrDefault>
      <w:pPr>
        <w:suppressAutoHyphens w:val="fals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/>
    <w:lsdException w:name="footer" w:uiPriority="99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39" w:semiHidden="0" w:unhideWhenUsed="0"/>
    <w:lsdException w:name="Table Theme" w:uiPriority="99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Style14" w:default="1">
    <w:name w:val="正文"/>
    <w:uiPriority w:val="0"/>
    <w:qFormat/>
    <w:pPr>
      <w:widowControl w:val="false"/>
      <w:bidi w:val="0"/>
      <w:spacing w:before="0" w:after="0"/>
      <w:jc w:val="both"/>
    </w:pPr>
    <w:rPr>
      <w:rFonts w:ascii="DengXian" w:hAnsi="DengXian" w:eastAsia="DengXian" w:cs="" w:asciiTheme="minorHAnsi" w:cstheme="minorBidi" w:eastAsiaTheme="minorEastAsia" w:hAnsiTheme="minorHAnsi"/>
      <w:color w:val="auto"/>
      <w:kern w:val="2"/>
      <w:sz w:val="24"/>
      <w:szCs w:val="24"/>
      <w:lang w:val="en-US" w:eastAsia="zh-CN" w:bidi="ar-SA"/>
    </w:rPr>
  </w:style>
  <w:style w:type="paragraph" w:styleId="Style15">
    <w:name w:val="列表段落"/>
    <w:basedOn w:val="Style14"/>
    <w:uiPriority w:val="34"/>
    <w:qFormat/>
    <w:pPr>
      <w:ind w:hanging="0"/>
    </w:pPr>
    <w:rPr/>
  </w:style>
  <w:style w:type="table" w:default="1" w:styleId="2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Application>LanShanOffice/1.3.0.10715$Windows_X86_64 LibreOffice_project/5d14176de2f26366192b0e421c0110698cd0f0fc</Application>
  <AppVersion>15.0000</AppVersion>
  <Pages>5</Pages>
  <Words>617</Words>
  <Characters>637</Characters>
  <CharactersWithSpaces>645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2021-07-27T08:16:00Z</dcterms:created>
  <dc:creator>Microsoft Office User</dc:creator>
  <dc:description/>
  <dc:language>zh-CN</dc:language>
  <cp:lastModifiedBy/>
  <dcterms:modified xsi:type="dcterms:W3CDTF">2021-07-28T14:04:57Z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F0E4DB1F31FA4C858ED03EBCB69C09DD</vt:lpwstr>
  </property>
  <property fmtid="{D5CDD505-2E9C-101B-9397-08002B2CF9AE}" pid="3" name="KSOProductBuildVer">
    <vt:lpwstr>2052-11.1.0.10667</vt:lpwstr>
  </property>
</Properties>
</file>