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Genotype and RNA Integration in Simulated Breast Cancer</w:t>
      </w:r>
    </w:p>
    <w:p>
      <w:pPr>
        <w:pStyle w:val="Subtitle"/>
      </w:pPr>
      <w:r>
        <w:t xml:space="preserve">Study 3 genotype RNA and cis eQTL simulation</w:t>
      </w:r>
    </w:p>
    <w:p>
      <w:pPr>
        <w:pStyle w:val="Author"/>
      </w:pPr>
      <w:r>
        <w:t xml:space="preserve">Vusumuzi Mabasa</w:t>
      </w:r>
    </w:p>
    <w:p>
      <w:pPr>
        <w:pStyle w:val="FirstParagraph"/>
      </w:pPr>
      <w:r>
        <w:rPr>
          <w:b/>
          <w:bCs/>
        </w:rPr>
        <w:t xml:space="preserve">Simulation study.</w:t>
      </w:r>
      <w:r>
        <w:t xml:space="preserve"> </w:t>
      </w:r>
      <w:r>
        <w:t xml:space="preserve">All participants, genomic positions, LD, gene identifiers, RNA measurements and TNBC labels are synthetic. This is a design illustration for Study 3 of a proposed breast cancer PhD, not a real breast cancer eQTL discovery study. The current experiment contains germline genotype and RNA only. Protein, somatic alteration and copula models are excluded from this experiment.</w:t>
      </w:r>
    </w:p>
    <w:bookmarkStart w:id="9" w:name="abstract"/>
    <w:p>
      <w:pPr>
        <w:pStyle w:val="Heading2"/>
        <w:keepNext/>
      </w:pPr>
      <w:r>
        <w:t xml:space="preserve">Abstract</w:t>
      </w:r>
    </w:p>
    <w:p>
      <w:pPr>
        <w:pStyle w:val="FirstParagraph"/>
      </w:pPr>
      <w:r>
        <w:t xml:space="preserve">We evaluated how germline genotype and RNA measurements could support molecular integration, breast cancer subtype classification and local genetic association mapping in a manageable simulation. Four scenarios separated absent molecular subtype effects, shared cis-eQTLs, subtype-dependent cis-eQTLs with abundance shifts, and abundance shifts without cis-eQTLs. The experiment used 1,600 independently generated eQTL cohorts and 80 independent training/test comparisons at training sizes of 240 and 480. Official MOFA+ and DIABLO implementations were compared with molecular and clinical ridge baselines. A separate gene-level analysis tested local genotype main effects and genotype by subtype interactions, with multiplicity adjustment within each hypothesis family. An elevated false-discovery control cell prompted a disclosed HC3 sensitivity analysis and 800 additional fresh null cohorts; the original results remain preserved. At N = 480 in the subtype-eQTL scenario, independent-test balanced accuracy was 0.878 for MOFA+, 0.940 for DIABLO and 0.961 for the combined ridge baseline. These endpoints answer different questions from eQTL mapping. The study illustrates a reproducible analysis design; it does not identify biomarkers, prove genetic mediation or estimate breast cancer susceptibility.</w:t>
      </w:r>
    </w:p>
    <w:bookmarkEnd w:id="9"/>
    <w:bookmarkStart w:id="10" w:name="introduction"/>
    <w:p>
      <w:pPr>
        <w:pStyle w:val="Heading2"/>
        <w:keepNext/>
      </w:pPr>
      <w:r>
        <w:t xml:space="preserve">Introduction</w:t>
      </w:r>
    </w:p>
    <w:p>
      <w:pPr>
        <w:pStyle w:val="FirstParagraph"/>
      </w:pPr>
      <w:r>
        <w:t xml:space="preserve">Study 3 concerns integrating molecular measurements to characterise differences between TNBC and other breast cancer subtypes. Restricting the molecular layers to germline genotype and RNA makes the genetic association question explicit: are local variants associated with expression, and do their associations differ between subtypes? This question can be addressed alongside molecular programme discovery and subtype prediction without requiring protein measurements.</w:t>
      </w:r>
    </w:p>
    <w:p>
      <w:pPr>
        <w:pStyle w:val="BodyText"/>
      </w:pPr>
      <w:r>
        <w:t xml:space="preserve">MOFA+ models shared and view-specific variation without using subtype labels during factor fitting [1,2]. DIABLO learns a supervised multiblock signature using those labels [3,4]. Neither latent factor separation nor successful classification establishes an eQTL. Local genotype–expression association therefore requires a separate analysis with its own covariate model, hypotheses and multiplicity control. The GTEx framework provides an established example of tissue-aware regulatory association mapping [5].</w:t>
      </w:r>
    </w:p>
    <w:p>
      <w:pPr>
        <w:pStyle w:val="BodyText"/>
      </w:pPr>
      <w:r>
        <w:t xml:space="preserve">The present simulation uses blood-like bulk RNA abundance and case-only subtype labels. It does not use mammary tissue, actual patient material, tumour mutation calls or real breast cancer gene annotations. Its synthetic gene names deliberately avoid presenting invented associations for actual breast cancer genes. It provides a transparent example of what an analysis could look like before assay availability, sample size, ancestry and clinical details are finalised.</w:t>
      </w:r>
    </w:p>
    <w:bookmarkEnd w:id="10"/>
    <w:bookmarkStart w:id="21" w:name="methods"/>
    <w:p>
      <w:pPr>
        <w:pStyle w:val="Heading2"/>
        <w:keepNext/>
      </w:pPr>
      <w:r>
        <w:t xml:space="preserve">Methods</w:t>
      </w:r>
    </w:p>
    <w:bookmarkStart w:id="14" w:name="experimental-design-and-preservation"/>
    <w:p>
      <w:pPr>
        <w:pStyle w:val="Heading3"/>
        <w:keepNext/>
      </w:pPr>
      <w:r>
        <w:t xml:space="preserve">Experimental design and preservation</w:t>
      </w:r>
    </w:p>
    <w:p>
      <w:pPr>
        <w:pStyle w:val="FirstParagraph"/>
      </w:pPr>
      <w:r>
        <w:t xml:space="preserve">The previous published experiment at commit 80d755b is preserved. Its sources, scientific results, figures and Word report remain unchanged, and its README and workflow are archived under v3/baseline. New experiment sources and outputs are confined to v3; the repository landing README and workflow describe the current experiment. Scientific source hashes were frozen after a dedicated development pilot and before the repeated evaluation runs.</w:t>
      </w:r>
    </w:p>
    <w:p>
      <w:pPr>
        <w:pStyle w:val="BodyText"/>
        <w:keepNext/>
      </w:pPr>
      <w:r>
        <w:t xml:space="preserve">Table 1. Independent simulation components. Different methods within one replicate share the same participants and test outcomes.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shd w:fill="E8EFF4"/>
          </w:tcPr>
          <w:p>
            <w:pPr>
              <w:keepNext/>
              <w:spacing w:before="60" w:after="60"/>
            </w:pPr>
            <w:r>
              <w:rPr>
                <w:b/>
                <w:sz w:val="19"/>
              </w:rPr>
              <w:t>Component</w:t>
            </w:r>
          </w:p>
        </w:tc>
        <w:tc>
          <w:tcPr>
            <w:tcW w:type="dxa" w:w="3360"/>
            <w:vAlign w:val="center"/>
            <w:shd w:fill="E8EFF4"/>
          </w:tcPr>
          <w:p>
            <w:pPr>
              <w:keepNext/>
              <w:spacing w:before="60" w:after="60"/>
            </w:pPr>
            <w:r>
              <w:rPr>
                <w:b/>
                <w:sz w:val="19"/>
              </w:rPr>
              <w:t>Specification</w:t>
            </w:r>
          </w:p>
        </w:tc>
        <w:tc>
          <w:tcPr>
            <w:tcW w:type="dxa" w:w="3360"/>
            <w:vAlign w:val="center"/>
            <w:shd w:fill="E8EFF4"/>
          </w:tcPr>
          <w:p>
            <w:pPr>
              <w:keepNext/>
              <w:spacing w:before="60" w:after="60"/>
            </w:pPr>
            <w:r>
              <w:rPr>
                <w:b/>
                <w:sz w:val="19"/>
              </w:rPr>
              <w:t>Scope</w:t>
            </w:r>
          </w:p>
        </w:tc>
      </w:tr>
      <w:tr>
        <w:trPr>
          <w:cantSplit/>
        </w:trPr>
        <w:tc>
          <w:tcPr>
            <w:tcW w:type="dxa" w:w="3360"/>
            <w:vAlign w:val="center"/>
            <w:shd w:fill="F5F7F9"/>
          </w:tcPr>
          <w:p>
            <w:pPr>
              <w:keepNext/>
              <w:spacing w:before="60" w:after="60"/>
            </w:pPr>
            <w:r>
              <w:rPr>
                <w:b w:val="0"/>
                <w:sz w:val="19"/>
              </w:rPr>
              <w:t>Molecular layers</w:t>
            </w:r>
          </w:p>
        </w:tc>
        <w:tc>
          <w:tcPr>
            <w:tcW w:type="dxa" w:w="3360"/>
            <w:vAlign w:val="center"/>
            <w:shd w:fill="F5F7F9"/>
          </w:tcPr>
          <w:p>
            <w:pPr>
              <w:keepNext/>
              <w:spacing w:before="60" w:after="60"/>
            </w:pPr>
            <w:r>
              <w:rPr>
                <w:b w:val="0"/>
                <w:sz w:val="19"/>
              </w:rPr>
              <w:t>24 germline dosages and 12 RNA genes</w:t>
            </w:r>
          </w:p>
        </w:tc>
        <w:tc>
          <w:tcPr>
            <w:tcW w:type="dxa" w:w="3360"/>
            <w:vAlign w:val="center"/>
            <w:shd w:fill="F5F7F9"/>
          </w:tcPr>
          <w:p>
            <w:pPr>
              <w:keepNext/>
              <w:spacing w:before="60" w:after="60"/>
            </w:pPr>
            <w:r>
              <w:rPr>
                <w:b w:val="0"/>
                <w:sz w:val="19"/>
              </w:rPr>
              <w:t>No protein or somatic layer</w:t>
            </w:r>
          </w:p>
        </w:tc>
      </w:tr>
      <w:tr>
        <w:trPr>
          <w:cantSplit/>
        </w:trPr>
        <w:tc>
          <w:tcPr>
            <w:tcW w:type="dxa" w:w="3360"/>
            <w:vAlign w:val="center"/>
            <w:shd w:fill="FFFFFF"/>
          </w:tcPr>
          <w:p>
            <w:pPr>
              <w:keepNext/>
              <w:spacing w:before="60" w:after="60"/>
            </w:pPr>
            <w:r>
              <w:rPr>
                <w:b w:val="0"/>
                <w:sz w:val="19"/>
              </w:rPr>
              <w:t>Participants</w:t>
            </w:r>
          </w:p>
        </w:tc>
        <w:tc>
          <w:tcPr>
            <w:tcW w:type="dxa" w:w="3360"/>
            <w:vAlign w:val="center"/>
            <w:shd w:fill="FFFFFF"/>
          </w:tcPr>
          <w:p>
            <w:pPr>
              <w:keepNext/>
              <w:spacing w:before="60" w:after="60"/>
            </w:pPr>
            <w:r>
              <w:rPr>
                <w:b w:val="0"/>
                <w:sz w:val="19"/>
              </w:rPr>
              <w:t>240 or 480 training cases</w:t>
            </w:r>
          </w:p>
        </w:tc>
        <w:tc>
          <w:tcPr>
            <w:tcW w:type="dxa" w:w="3360"/>
            <w:vAlign w:val="center"/>
            <w:shd w:fill="FFFFFF"/>
          </w:tcPr>
          <w:p>
            <w:pPr>
              <w:keepNext/>
              <w:spacing w:before="60" w:after="60"/>
            </w:pPr>
            <w:r>
              <w:rPr>
                <w:b w:val="0"/>
                <w:sz w:val="19"/>
              </w:rPr>
              <w:t>360 independent test cases</w:t>
            </w:r>
          </w:p>
        </w:tc>
      </w:tr>
      <w:tr>
        <w:trPr>
          <w:cantSplit/>
        </w:trPr>
        <w:tc>
          <w:tcPr>
            <w:tcW w:type="dxa" w:w="3360"/>
            <w:vAlign w:val="center"/>
            <w:shd w:fill="F5F7F9"/>
          </w:tcPr>
          <w:p>
            <w:pPr>
              <w:keepNext/>
              <w:spacing w:before="60" w:after="60"/>
            </w:pPr>
            <w:r>
              <w:rPr>
                <w:b w:val="0"/>
                <w:sz w:val="19"/>
              </w:rPr>
              <w:t>eQTL evaluation</w:t>
            </w:r>
          </w:p>
        </w:tc>
        <w:tc>
          <w:tcPr>
            <w:tcW w:type="dxa" w:w="3360"/>
            <w:vAlign w:val="center"/>
            <w:shd w:fill="F5F7F9"/>
          </w:tcPr>
          <w:p>
            <w:pPr>
              <w:keepNext/>
              <w:spacing w:before="60" w:after="60"/>
            </w:pPr>
            <w:r>
              <w:rPr>
                <w:b w:val="0"/>
                <w:sz w:val="19"/>
              </w:rPr>
              <w:t>4 scenarios × 2 sizes × 200</w:t>
            </w:r>
          </w:p>
        </w:tc>
        <w:tc>
          <w:tcPr>
            <w:tcW w:type="dxa" w:w="3360"/>
            <w:vAlign w:val="center"/>
            <w:shd w:fill="F5F7F9"/>
          </w:tcPr>
          <w:p>
            <w:pPr>
              <w:keepNext/>
              <w:spacing w:before="60" w:after="60"/>
            </w:pPr>
            <w:r>
              <w:rPr>
                <w:b w:val="0"/>
                <w:sz w:val="19"/>
              </w:rPr>
              <w:t>1,600 cohorts</w:t>
            </w:r>
          </w:p>
        </w:tc>
      </w:tr>
      <w:tr>
        <w:trPr>
          <w:cantSplit/>
        </w:trPr>
        <w:tc>
          <w:tcPr>
            <w:tcW w:type="dxa" w:w="3360"/>
            <w:vAlign w:val="center"/>
            <w:shd w:fill="FFFFFF"/>
          </w:tcPr>
          <w:p>
            <w:pPr>
              <w:keepNext/>
              <w:spacing w:before="60" w:after="60"/>
            </w:pPr>
            <w:r>
              <w:rPr>
                <w:b w:val="0"/>
                <w:sz w:val="19"/>
              </w:rPr>
              <w:t>Integration evaluation</w:t>
            </w:r>
          </w:p>
        </w:tc>
        <w:tc>
          <w:tcPr>
            <w:tcW w:type="dxa" w:w="3360"/>
            <w:vAlign w:val="center"/>
            <w:shd w:fill="FFFFFF"/>
          </w:tcPr>
          <w:p>
            <w:pPr>
              <w:keepNext/>
              <w:spacing w:before="60" w:after="60"/>
            </w:pPr>
            <w:r>
              <w:rPr>
                <w:b w:val="0"/>
                <w:sz w:val="19"/>
              </w:rPr>
              <w:t>4 scenarios × 2 sizes × 10</w:t>
            </w:r>
          </w:p>
        </w:tc>
        <w:tc>
          <w:tcPr>
            <w:tcW w:type="dxa" w:w="3360"/>
            <w:vAlign w:val="center"/>
            <w:shd w:fill="FFFFFF"/>
          </w:tcPr>
          <w:p>
            <w:pPr>
              <w:keepNext/>
              <w:spacing w:before="60" w:after="60"/>
            </w:pPr>
            <w:r>
              <w:rPr>
                <w:b w:val="0"/>
                <w:sz w:val="19"/>
              </w:rPr>
              <w:t>80 training and test pairs</w:t>
            </w:r>
          </w:p>
        </w:tc>
      </w:tr>
      <w:tr>
        <w:trPr>
          <w:cantSplit/>
        </w:trPr>
        <w:tc>
          <w:tcPr>
            <w:tcW w:type="dxa" w:w="3360"/>
            <w:vAlign w:val="center"/>
            <w:shd w:fill="F5F7F9"/>
          </w:tcPr>
          <w:p>
            <w:pPr>
              <w:keepNext w:val="0"/>
              <w:spacing w:before="60" w:after="60"/>
            </w:pPr>
            <w:r>
              <w:rPr>
                <w:b w:val="0"/>
                <w:sz w:val="19"/>
              </w:rPr>
              <w:t>Genetic regions</w:t>
            </w:r>
          </w:p>
        </w:tc>
        <w:tc>
          <w:tcPr>
            <w:tcW w:type="dxa" w:w="3360"/>
            <w:vAlign w:val="center"/>
            <w:shd w:fill="F5F7F9"/>
          </w:tcPr>
          <w:p>
            <w:pPr>
              <w:keepNext w:val="0"/>
              <w:spacing w:before="60" w:after="60"/>
            </w:pPr>
            <w:r>
              <w:rPr>
                <w:b w:val="0"/>
                <w:sz w:val="19"/>
              </w:rPr>
              <w:t>6 synthetic loci with 4 variants each</w:t>
            </w:r>
          </w:p>
        </w:tc>
        <w:tc>
          <w:tcPr>
            <w:tcW w:type="dxa" w:w="3360"/>
            <w:vAlign w:val="center"/>
            <w:shd w:fill="F5F7F9"/>
          </w:tcPr>
          <w:p>
            <w:pPr>
              <w:keepNext w:val="0"/>
              <w:spacing w:before="60" w:after="60"/>
            </w:pPr>
            <w:r>
              <w:rPr>
                <w:b w:val="0"/>
                <w:sz w:val="19"/>
              </w:rPr>
              <w:t>2 mapped genes per locus</w:t>
            </w:r>
          </w:p>
        </w:tc>
      </w:tr>
    </w:tbl>
    <w:p>
      <w:pPr>
        <w:pStyle w:val="BodyText"/>
        <w:keepNext/>
        <w:spacing w:before="200"/>
        <w:jc w:val="center"/>
      </w:pPr>
      <w:r>
        <w:drawing>
          <wp:inline>
            <wp:extent cx="5852160" cy="3251200"/>
            <wp:effectExtent b="0" l="0" r="0" t="0"/>
            <wp:docPr descr="" title="" id="12" name="Picture"/>
            <a:graphic>
              <a:graphicData uri="http://schemas.openxmlformats.org/drawingml/2006/picture">
                <pic:pic>
                  <pic:nvPicPr>
                    <pic:cNvPr descr="../figures/study_design.png" id="13" name="Picture"/>
                    <pic:cNvPicPr>
                      <a:picLocks noChangeArrowheads="1" noChangeAspect="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pPr>
        <w:pStyle w:val="BodyText"/>
        <w:spacing w:after="180"/>
      </w:pPr>
      <w:r>
        <w:t xml:space="preserve">Figure 1. Genotype and RNA support local eQTL mapping, unsupervised MOFA+ and supervised DIABLO. The diagram describes statistical analyses, not an established causal pathway.</w:t>
      </w:r>
    </w:p>
    <w:bookmarkEnd w:id="14"/>
    <w:bookmarkStart w:id="15" w:name="X19256b913aa24193fa97919701a319bd6fff895"/>
    <w:p>
      <w:pPr>
        <w:pStyle w:val="Heading3"/>
        <w:keepNext/>
      </w:pPr>
      <w:r>
        <w:t xml:space="preserve">Synthetic participants and local genetic structure</w:t>
      </w:r>
    </w:p>
    <w:p>
      <w:pPr>
        <w:pStyle w:val="FirstParagraph"/>
      </w:pPr>
      <w:r>
        <w:t xml:space="preserve">Each cohort represented breast cancer cases with a simulated TNBC indicator. Age, cellular composition, three ancestry strata and three batches were generated independently at the participant level except for prespecified ancestry-dependent allele frequencies. Each of six local regions contained four correlated variants. Latent Gaussian correlation between variants a and b was</w:t>
      </w:r>
      <w:r>
        <w:t xml:space="preserve"> </w:t>
      </w:r>
      <m:oMath>
        <m:sSup>
          <m:e>
            <m:r>
              <m:t>0.65</m:t>
            </m:r>
          </m:e>
          <m:sup>
            <m:r>
              <m:rPr>
                <m:sty m:val="p"/>
              </m:rPr>
              <m:t>|</m:t>
            </m:r>
            <m:r>
              <m:t>a</m:t>
            </m:r>
            <m:r>
              <m:rPr>
                <m:sty m:val="p"/>
              </m:rPr>
              <m:t>−</m:t>
            </m:r>
            <m:r>
              <m:t>b</m:t>
            </m:r>
            <m:r>
              <m:rPr>
                <m:sty m:val="p"/>
              </m:rPr>
              <m:t>|</m:t>
            </m:r>
          </m:sup>
        </m:sSup>
      </m:oMath>
      <w:r>
        <w:t xml:space="preserve">; inverse-binomial thresholds generated 0, 1 or 2 alternate allele dosages. Allele frequencies varied approximately between 0.18 and 0.40 before modest ancestry shifts. This supplies synthetic LD, not an empirical African or other population reference.</w:t>
      </w:r>
    </w:p>
    <w:p>
      <w:pPr>
        <w:pStyle w:val="BodyText"/>
      </w:pPr>
      <w:r>
        <w:t xml:space="preserve">Subtype sampling followed</w:t>
      </w:r>
    </w:p>
    <w:p>
      <w:pPr>
        <w:pStyle w:val="BodyText"/>
      </w:pPr>
      <m:oMathPara>
        <m:oMathParaPr>
          <m:jc m:val="center"/>
        </m:oMathParaPr>
        <m:oMath>
          <m:r>
            <m:rPr>
              <m:sty m:val="p"/>
            </m:rPr>
            <m:t>Pr</m:t>
          </m:r>
          <m:r>
            <m:rPr>
              <m:sty m:val="p"/>
            </m:rPr>
            <m:t>(</m:t>
          </m:r>
          <m:sSub>
            <m:e>
              <m:r>
                <m:t>T</m:t>
              </m:r>
            </m:e>
            <m:sub>
              <m:r>
                <m:t>i</m:t>
              </m:r>
            </m:sub>
          </m:sSub>
          <m:r>
            <m:rPr>
              <m:sty m:val="p"/>
            </m:rPr>
            <m:t>=</m:t>
          </m:r>
          <m:r>
            <m:t>1</m:t>
          </m:r>
          <m:r>
            <m:rPr>
              <m:sty m:val="p"/>
            </m:rPr>
            <m:t>∣</m:t>
          </m:r>
          <m:sSub>
            <m:e>
              <m:r>
                <m:t>G</m:t>
              </m:r>
            </m:e>
            <m:sub>
              <m:r>
                <m:t>i</m:t>
              </m:r>
            </m:sub>
          </m:sSub>
          <m:r>
            <m:rPr>
              <m:sty m:val="p"/>
            </m:rPr>
            <m:t>,</m:t>
          </m:r>
          <m:sSub>
            <m:e>
              <m:r>
                <m:t>C</m:t>
              </m:r>
            </m:e>
            <m:sub>
              <m:r>
                <m:t>i</m:t>
              </m:r>
            </m:sub>
          </m:sSub>
          <m:r>
            <m:rPr>
              <m:sty m:val="p"/>
            </m:rPr>
            <m:t>)</m:t>
          </m:r>
          <m:r>
            <m:rPr>
              <m:sty m:val="p"/>
            </m:rPr>
            <m:t>=</m:t>
          </m:r>
          <m:r>
            <m:rPr>
              <m:sty m:val="p"/>
            </m:rPr>
            <m:t>expit</m:t>
          </m:r>
          <m:r>
            <m:rPr>
              <m:sty m:val="p"/>
            </m:rPr>
            <m:t>{</m:t>
          </m:r>
          <m:r>
            <m:rPr>
              <m:sty m:val="p"/>
            </m:rPr>
            <m:t>−</m:t>
          </m:r>
          <m:r>
            <m:t>0.65</m:t>
          </m:r>
          <m:r>
            <m:rPr>
              <m:sty m:val="p"/>
            </m:rPr>
            <m:t>+</m:t>
          </m:r>
          <m:r>
            <m:t>0.30</m:t>
          </m:r>
          <m:sSub>
            <m:e>
              <m:r>
                <m:t>A</m:t>
              </m:r>
            </m:e>
            <m:sub>
              <m:r>
                <m:t>i</m:t>
              </m:r>
            </m:sub>
          </m:sSub>
          <m:r>
            <m:rPr>
              <m:sty m:val="p"/>
            </m:rPr>
            <m:t>+</m:t>
          </m:r>
          <m:r>
            <m:t>0.25</m:t>
          </m:r>
          <m:sSub>
            <m:e>
              <m:r>
                <m:t>F</m:t>
              </m:r>
            </m:e>
            <m:sub>
              <m:r>
                <m:t>i</m:t>
              </m:r>
            </m:sub>
          </m:sSub>
          <m:r>
            <m:rPr>
              <m:sty m:val="p"/>
            </m:rPr>
            <m:t>+</m:t>
          </m:r>
          <m:r>
            <m:t>0.20</m:t>
          </m:r>
          <m:r>
            <m:t>I</m:t>
          </m:r>
          <m:r>
            <m:rPr>
              <m:sty m:val="p"/>
            </m:rPr>
            <m:t>(</m:t>
          </m:r>
          <m:sSub>
            <m:e>
              <m:r>
                <m:t>S</m:t>
              </m:r>
            </m:e>
            <m:sub>
              <m:r>
                <m:t>i</m:t>
              </m:r>
            </m:sub>
          </m:sSub>
          <m:r>
            <m:rPr>
              <m:sty m:val="p"/>
            </m:rPr>
            <m:t>=</m:t>
          </m:r>
          <m:r>
            <m:t>2</m:t>
          </m:r>
          <m:r>
            <m:rPr>
              <m:sty m:val="p"/>
            </m:rPr>
            <m:t>)</m:t>
          </m:r>
          <m:r>
            <m:rPr>
              <m:sty m:val="p"/>
            </m:rPr>
            <m:t>+</m:t>
          </m:r>
          <m:r>
            <m:t>0.25</m:t>
          </m:r>
          <m:r>
            <m:rPr>
              <m:sty m:val="p"/>
            </m:rPr>
            <m:t>(</m:t>
          </m:r>
          <m:sSub>
            <m:e>
              <m:r>
                <m:t>G</m:t>
              </m:r>
            </m:e>
            <m:sub>
              <m:r>
                <m:t>i</m:t>
              </m:r>
              <m:r>
                <m:t>1</m:t>
              </m:r>
            </m:sub>
          </m:sSub>
          <m:r>
            <m:rPr>
              <m:sty m:val="p"/>
            </m:rPr>
            <m:t>−</m:t>
          </m:r>
          <m:r>
            <m:t>2</m:t>
          </m:r>
          <m:sSub>
            <m:e>
              <m:r>
                <m:t>p</m:t>
              </m:r>
            </m:e>
            <m:sub>
              <m:r>
                <m:t>1</m:t>
              </m:r>
            </m:sub>
          </m:sSub>
          <m:r>
            <m:rPr>
              <m:sty m:val="p"/>
            </m:rPr>
            <m:t>)</m:t>
          </m:r>
          <m:r>
            <m:rPr>
              <m:sty m:val="p"/>
            </m:rPr>
            <m:t>}</m:t>
          </m:r>
          <m:r>
            <m:rPr>
              <m:sty m:val="p"/>
            </m:rPr>
            <m:t>,</m:t>
          </m:r>
        </m:oMath>
      </m:oMathPara>
    </w:p>
    <w:p>
      <w:pPr>
        <w:pStyle w:val="FirstParagraph"/>
      </w:pPr>
      <w:r>
        <w:t xml:space="preserve">where A is standardised age, F is standardised cell fraction, S is synthetic ancestry and T denotes TNBC. The model defines a case-only subtype contrast. It does not compare cases with healthy controls or estimate genetic susceptibility to breast cancer.</w:t>
      </w:r>
    </w:p>
    <w:bookmarkEnd w:id="15"/>
    <w:bookmarkStart w:id="16" w:name="rna-abundance-and-known-eqtl-truth"/>
    <w:p>
      <w:pPr>
        <w:pStyle w:val="Heading3"/>
        <w:keepNext/>
      </w:pPr>
      <w:r>
        <w:t xml:space="preserve">RNA abundance and known eQTL truth</w:t>
      </w:r>
    </w:p>
    <w:p>
      <w:pPr>
        <w:pStyle w:val="FirstParagraph"/>
      </w:pPr>
      <w:r>
        <w:t xml:space="preserve">Two genes were assigned to each synthetic region. Their RNA abundance depended on clinical and technical covariates, three shared residual programmes and gene-specific noise. The latent log2 abundance was</w:t>
      </w:r>
    </w:p>
    <w:p>
      <w:pPr>
        <w:pStyle w:val="BodyText"/>
      </w:pPr>
      <m:oMathPara>
        <m:oMathParaPr>
          <m:jc m:val="center"/>
        </m:oMathParaPr>
        <m:oMath>
          <m:sSub>
            <m:e>
              <m:r>
                <m:t>L</m:t>
              </m:r>
            </m:e>
            <m:sub>
              <m:r>
                <m:t>i</m:t>
              </m:r>
              <m:r>
                <m:t>g</m:t>
              </m:r>
            </m:sub>
          </m:sSub>
          <m:r>
            <m:rPr>
              <m:sty m:val="p"/>
            </m:rPr>
            <m:t>=</m:t>
          </m:r>
          <m:r>
            <m:t>5</m:t>
          </m:r>
          <m:r>
            <m:rPr>
              <m:sty m:val="p"/>
            </m:rPr>
            <m:t>+</m:t>
          </m:r>
          <m:sSubSup>
            <m:e>
              <m:r>
                <m:t>C</m:t>
              </m:r>
            </m:e>
            <m:sub>
              <m:r>
                <m:t>i</m:t>
              </m:r>
            </m:sub>
            <m:sup>
              <m:r>
                <m:rPr>
                  <m:sty m:val="p"/>
                </m:rPr>
                <m:t>⊤</m:t>
              </m:r>
            </m:sup>
          </m:sSubSup>
          <m:r>
            <m:t>η</m:t>
          </m:r>
          <m:r>
            <m:rPr>
              <m:sty m:val="p"/>
            </m:rPr>
            <m:t>+</m:t>
          </m:r>
          <m:sSubSup>
            <m:e>
              <m:r>
                <m:t>H</m:t>
              </m:r>
            </m:e>
            <m:sub>
              <m:r>
                <m:t>i</m:t>
              </m:r>
            </m:sub>
            <m:sup>
              <m:r>
                <m:rPr>
                  <m:sty m:val="p"/>
                </m:rPr>
                <m:t>⊤</m:t>
              </m:r>
            </m:sup>
          </m:sSubSup>
          <m:sSub>
            <m:e>
              <m:r>
                <m:t>w</m:t>
              </m:r>
            </m:e>
            <m:sub>
              <m:r>
                <m:t>g</m:t>
              </m:r>
            </m:sub>
          </m:sSub>
          <m:r>
            <m:rPr>
              <m:sty m:val="p"/>
            </m:rPr>
            <m:t>+</m:t>
          </m:r>
          <m:sSub>
            <m:e>
              <m:r>
                <m:t>β</m:t>
              </m:r>
            </m:e>
            <m:sub>
              <m:r>
                <m:t>g</m:t>
              </m:r>
            </m:sub>
          </m:sSub>
          <m:sSub>
            <m:e>
              <m:r>
                <m:t>G</m:t>
              </m:r>
            </m:e>
            <m:sub>
              <m:r>
                <m:t>i</m:t>
              </m:r>
              <m:r>
                <m:t>v</m:t>
              </m:r>
              <m:r>
                <m:rPr>
                  <m:sty m:val="p"/>
                </m:rPr>
                <m:t>(</m:t>
              </m:r>
              <m:r>
                <m:t>g</m:t>
              </m:r>
              <m:r>
                <m:rPr>
                  <m:sty m:val="p"/>
                </m:rPr>
                <m:t>)</m:t>
              </m:r>
            </m:sub>
          </m:sSub>
          <m:r>
            <m:rPr>
              <m:sty m:val="p"/>
            </m:rPr>
            <m:t>+</m:t>
          </m:r>
          <m:sSub>
            <m:e>
              <m:r>
                <m:t>γ</m:t>
              </m:r>
            </m:e>
            <m:sub>
              <m:r>
                <m:t>g</m:t>
              </m:r>
            </m:sub>
          </m:sSub>
          <m:sSub>
            <m:e>
              <m:r>
                <m:t>T</m:t>
              </m:r>
            </m:e>
            <m:sub>
              <m:r>
                <m:t>i</m:t>
              </m:r>
            </m:sub>
          </m:sSub>
          <m:r>
            <m:rPr>
              <m:sty m:val="p"/>
            </m:rPr>
            <m:t>+</m:t>
          </m:r>
          <m:sSub>
            <m:e>
              <m:r>
                <m:t>δ</m:t>
              </m:r>
            </m:e>
            <m:sub>
              <m:r>
                <m:t>g</m:t>
              </m:r>
            </m:sub>
          </m:sSub>
          <m:sSub>
            <m:e>
              <m:r>
                <m:t>G</m:t>
              </m:r>
            </m:e>
            <m:sub>
              <m:r>
                <m:t>i</m:t>
              </m:r>
              <m:r>
                <m:t>v</m:t>
              </m:r>
              <m:r>
                <m:rPr>
                  <m:sty m:val="p"/>
                </m:rPr>
                <m:t>(</m:t>
              </m:r>
              <m:r>
                <m:t>g</m:t>
              </m:r>
              <m:r>
                <m:rPr>
                  <m:sty m:val="p"/>
                </m:rPr>
                <m:t>)</m:t>
              </m:r>
            </m:sub>
          </m:sSub>
          <m:sSub>
            <m:e>
              <m:r>
                <m:t>T</m:t>
              </m:r>
            </m:e>
            <m:sub>
              <m:r>
                <m:t>i</m:t>
              </m:r>
            </m:sub>
          </m:sSub>
          <m:r>
            <m:rPr>
              <m:sty m:val="p"/>
            </m:rPr>
            <m:t>+</m:t>
          </m:r>
          <m:sSub>
            <m:e>
              <m:r>
                <m:t>ϵ</m:t>
              </m:r>
            </m:e>
            <m:sub>
              <m:r>
                <m:t>i</m:t>
              </m:r>
              <m:r>
                <m:t>g</m:t>
              </m:r>
            </m:sub>
          </m:sSub>
          <m:r>
            <m:rPr>
              <m:sty m:val="p"/>
            </m:rPr>
            <m:t>,</m:t>
          </m:r>
        </m:oMath>
      </m:oMathPara>
    </w:p>
    <w:p>
      <w:pPr>
        <w:pStyle w:val="FirstParagraph"/>
      </w:pPr>
      <w:r>
        <w:t xml:space="preserve">with</w:t>
      </w:r>
      <w:r>
        <w:t xml:space="preserve"> </w:t>
      </w:r>
      <m:oMath>
        <m:sSub>
          <m:e>
            <m:r>
              <m:t>H</m:t>
            </m:r>
          </m:e>
          <m:sub>
            <m:r>
              <m:t>i</m:t>
            </m:r>
          </m:sub>
        </m:sSub>
        <m:r>
          <m:rPr>
            <m:sty m:val="p"/>
          </m:rPr>
          <m:t>∼</m:t>
        </m:r>
        <m:sSub>
          <m:e>
            <m:r>
              <m:t>N</m:t>
            </m:r>
          </m:e>
          <m:sub>
            <m:r>
              <m:t>3</m:t>
            </m:r>
          </m:sub>
        </m:sSub>
        <m:r>
          <m:rPr>
            <m:sty m:val="p"/>
          </m:rPr>
          <m:t>(</m:t>
        </m:r>
        <m:r>
          <m:t>0</m:t>
        </m:r>
        <m:r>
          <m:rPr>
            <m:sty m:val="p"/>
          </m:rPr>
          <m:t>,</m:t>
        </m:r>
        <m:r>
          <m:t>I</m:t>
        </m:r>
        <m:r>
          <m:rPr>
            <m:sty m:val="p"/>
          </m:rPr>
          <m:t>)</m:t>
        </m:r>
      </m:oMath>
      <w:r>
        <w:t xml:space="preserve">, one loading of 0.25 per gene and</w:t>
      </w:r>
      <w:r>
        <w:t xml:space="preserve"> </w:t>
      </w:r>
      <m:oMath>
        <m:sSub>
          <m:e>
            <m:r>
              <m:t>ϵ</m:t>
            </m:r>
          </m:e>
          <m:sub>
            <m:r>
              <m:t>i</m:t>
            </m:r>
            <m:r>
              <m:t>g</m:t>
            </m:r>
          </m:sub>
        </m:sSub>
        <m:r>
          <m:rPr>
            <m:sty m:val="p"/>
          </m:rPr>
          <m:t>∼</m:t>
        </m:r>
        <m:r>
          <m:t>N</m:t>
        </m:r>
        <m:r>
          <m:rPr>
            <m:sty m:val="p"/>
          </m:rPr>
          <m:t>(</m:t>
        </m:r>
        <m:r>
          <m:t>0</m:t>
        </m:r>
        <m:r>
          <m:rPr>
            <m:sty m:val="p"/>
          </m:rPr>
          <m:t>,</m:t>
        </m:r>
        <m:sSup>
          <m:e>
            <m:r>
              <m:t>0.35</m:t>
            </m:r>
          </m:e>
          <m:sup>
            <m:r>
              <m:t>2</m:t>
            </m:r>
          </m:sup>
        </m:sSup>
        <m:r>
          <m:rPr>
            <m:sty m:val="p"/>
          </m:rPr>
          <m:t>)</m:t>
        </m:r>
      </m:oMath>
      <w:r>
        <w:t xml:space="preserve">. Each gene had a prespecified local causal variant. In shared-eQTL settings, six genes had</w:t>
      </w:r>
      <w:r>
        <w:t xml:space="preserve"> </w:t>
      </w:r>
      <m:oMath>
        <m:sSub>
          <m:e>
            <m:r>
              <m:t>β</m:t>
            </m:r>
          </m:e>
          <m:sub>
            <m:r>
              <m:t>g</m:t>
            </m:r>
          </m:sub>
        </m:sSub>
        <m:r>
          <m:rPr>
            <m:sty m:val="p"/>
          </m:rPr>
          <m:t>=</m:t>
        </m:r>
        <m:r>
          <m:t>0.45</m:t>
        </m:r>
      </m:oMath>
      <w:r>
        <w:t xml:space="preserve">. In subtype-eQTL settings, six genes additionally had positive or negative</w:t>
      </w:r>
      <w:r>
        <w:t xml:space="preserve"> </w:t>
      </w:r>
      <m:oMath>
        <m:sSub>
          <m:e>
            <m:r>
              <m:t>δ</m:t>
            </m:r>
          </m:e>
          <m:sub>
            <m:r>
              <m:t>g</m:t>
            </m:r>
          </m:sub>
        </m:sSub>
        <m:r>
          <m:rPr>
            <m:sty m:val="p"/>
          </m:rPr>
          <m:t>=</m:t>
        </m:r>
        <m:r>
          <m:t>0.65</m:t>
        </m:r>
      </m:oMath>
      <w:r>
        <w:t xml:space="preserve"> </w:t>
      </w:r>
      <w:r>
        <w:t xml:space="preserve">in magnitude, giving nine genes with any genetic effect. Six genes also had subtype abundance shifts of 0.65. The abundance-only setting retained those mean shifts with all genetic expression effects zero. The null setting had neither genetic expression effects nor direct subtype abundance shifts; subtype still depended on the stated clinical and genotype inputs.</w:t>
      </w:r>
    </w:p>
    <w:p>
      <w:pPr>
        <w:pStyle w:val="BodyText"/>
      </w:pPr>
      <w:r>
        <w:t xml:space="preserve">Counts were generated using the known simulated whole-assay library size</w:t>
      </w:r>
      <w:r>
        <w:t xml:space="preserve"> </w:t>
      </w:r>
      <m:oMath>
        <m:sSub>
          <m:e>
            <m:r>
              <m:t>s</m:t>
            </m:r>
          </m:e>
          <m:sub>
            <m:r>
              <m:t>i</m:t>
            </m:r>
          </m:sub>
        </m:sSub>
      </m:oMath>
      <w:r>
        <w:t xml:space="preserve">:</w:t>
      </w:r>
    </w:p>
    <w:p>
      <w:pPr>
        <w:pStyle w:val="BodyText"/>
      </w:pPr>
      <m:oMathPara>
        <m:oMathParaPr>
          <m:jc m:val="center"/>
        </m:oMathParaPr>
        <m:oMath>
          <m:sSub>
            <m:e>
              <m:r>
                <m:t>K</m:t>
              </m:r>
            </m:e>
            <m:sub>
              <m:r>
                <m:t>i</m:t>
              </m:r>
              <m:r>
                <m:t>g</m:t>
              </m:r>
            </m:sub>
          </m:sSub>
          <m:r>
            <m:rPr>
              <m:sty m:val="p"/>
            </m:rPr>
            <m:t>∼</m:t>
          </m:r>
          <m:r>
            <m:rPr>
              <m:sty m:val="p"/>
            </m:rPr>
            <m:t>NB</m:t>
          </m:r>
          <m:r>
            <m:rPr>
              <m:sty m:val="p"/>
            </m:rPr>
            <m:t>(</m:t>
          </m:r>
          <m:sSub>
            <m:e>
              <m:r>
                <m:t>μ</m:t>
              </m:r>
            </m:e>
            <m:sub>
              <m:r>
                <m:t>i</m:t>
              </m:r>
              <m:r>
                <m:t>g</m:t>
              </m:r>
            </m:sub>
          </m:sSub>
          <m:r>
            <m:rPr>
              <m:sty m:val="p"/>
            </m:rPr>
            <m:t>,</m:t>
          </m:r>
          <m:r>
            <m:t>r</m:t>
          </m:r>
          <m:r>
            <m:rPr>
              <m:sty m:val="p"/>
            </m:rPr>
            <m:t>=</m:t>
          </m:r>
          <m:r>
            <m:t>30</m:t>
          </m:r>
          <m:r>
            <m:rPr>
              <m:sty m:val="p"/>
            </m:rPr>
            <m:t>)</m:t>
          </m:r>
          <m:r>
            <m:rPr>
              <m:sty m:val="p"/>
            </m:rPr>
            <m:t>,</m:t>
          </m:r>
          <m:r>
            <m:t> </m:t>
          </m:r>
          <m:sSub>
            <m:e>
              <m:r>
                <m:t>μ</m:t>
              </m:r>
            </m:e>
            <m:sub>
              <m:r>
                <m:t>i</m:t>
              </m:r>
              <m:r>
                <m:t>g</m:t>
              </m:r>
            </m:sub>
          </m:sSub>
          <m:r>
            <m:rPr>
              <m:sty m:val="p"/>
            </m:rPr>
            <m:t>=</m:t>
          </m:r>
          <m:f>
            <m:fPr>
              <m:type m:val="bar"/>
            </m:fPr>
            <m:num>
              <m:sSub>
                <m:e>
                  <m:r>
                    <m:t>s</m:t>
                  </m:r>
                </m:e>
                <m:sub>
                  <m:r>
                    <m:t>i</m:t>
                  </m:r>
                </m:sub>
              </m:sSub>
            </m:num>
            <m:den>
              <m:sSup>
                <m:e>
                  <m:r>
                    <m:t>10</m:t>
                  </m:r>
                </m:e>
                <m:sup>
                  <m:r>
                    <m:t>6</m:t>
                  </m:r>
                </m:sup>
              </m:sSup>
            </m:den>
          </m:f>
          <m:sSup>
            <m:e>
              <m:r>
                <m:t>2</m:t>
              </m:r>
            </m:e>
            <m:sup>
              <m:sSub>
                <m:e>
                  <m:r>
                    <m:t>L</m:t>
                  </m:r>
                </m:e>
                <m:sub>
                  <m:r>
                    <m:t>i</m:t>
                  </m:r>
                  <m:r>
                    <m:t>g</m:t>
                  </m:r>
                </m:sub>
              </m:sSub>
            </m:sup>
          </m:sSup>
          <m:r>
            <m:rPr>
              <m:sty m:val="p"/>
            </m:rPr>
            <m:t>,</m:t>
          </m:r>
          <m:r>
            <m:t> </m:t>
          </m:r>
          <m:r>
            <m:rPr>
              <m:sty m:val="p"/>
            </m:rPr>
            <m:t>Var</m:t>
          </m:r>
          <m:r>
            <m:rPr>
              <m:sty m:val="p"/>
            </m:rPr>
            <m:t>(</m:t>
          </m:r>
          <m:sSub>
            <m:e>
              <m:r>
                <m:t>K</m:t>
              </m:r>
            </m:e>
            <m:sub>
              <m:r>
                <m:t>i</m:t>
              </m:r>
              <m:r>
                <m:t>g</m:t>
              </m:r>
            </m:sub>
          </m:sSub>
          <m:r>
            <m:rPr>
              <m:sty m:val="p"/>
            </m:rPr>
            <m:t>∣</m:t>
          </m:r>
          <m:r>
            <m:t>L</m:t>
          </m:r>
          <m:r>
            <m:rPr>
              <m:sty m:val="p"/>
            </m:rPr>
            <m:t>,</m:t>
          </m:r>
          <m:r>
            <m:t>s</m:t>
          </m:r>
          <m:r>
            <m:rPr>
              <m:sty m:val="p"/>
            </m:rPr>
            <m:t>)</m:t>
          </m:r>
          <m:r>
            <m:rPr>
              <m:sty m:val="p"/>
            </m:rPr>
            <m:t>=</m:t>
          </m:r>
          <m:sSub>
            <m:e>
              <m:r>
                <m:t>μ</m:t>
              </m:r>
            </m:e>
            <m:sub>
              <m:r>
                <m:t>i</m:t>
              </m:r>
              <m:r>
                <m:t>g</m:t>
              </m:r>
            </m:sub>
          </m:sSub>
          <m:r>
            <m:rPr>
              <m:sty m:val="p"/>
            </m:rPr>
            <m:t>+</m:t>
          </m:r>
          <m:f>
            <m:fPr>
              <m:type m:val="bar"/>
            </m:fPr>
            <m:num>
              <m:sSubSup>
                <m:e>
                  <m:r>
                    <m:t>μ</m:t>
                  </m:r>
                </m:e>
                <m:sub>
                  <m:r>
                    <m:t>i</m:t>
                  </m:r>
                  <m:r>
                    <m:t>g</m:t>
                  </m:r>
                </m:sub>
                <m:sup>
                  <m:r>
                    <m:t>2</m:t>
                  </m:r>
                </m:sup>
              </m:sSubSup>
            </m:num>
            <m:den>
              <m:r>
                <m:t>30</m:t>
              </m:r>
            </m:den>
          </m:f>
          <m:r>
            <m:rPr>
              <m:sty m:val="p"/>
            </m:rPr>
            <m:t>,</m:t>
          </m:r>
        </m:oMath>
      </m:oMathPara>
    </w:p>
    <w:p>
      <w:pPr>
        <w:pStyle w:val="FirstParagraph"/>
      </w:pPr>
      <m:oMathPara>
        <m:oMathParaPr>
          <m:jc m:val="center"/>
        </m:oMathParaPr>
        <m:oMath>
          <m:sSub>
            <m:e>
              <m:r>
                <m:t>Y</m:t>
              </m:r>
            </m:e>
            <m:sub>
              <m:r>
                <m:t>i</m:t>
              </m:r>
              <m:r>
                <m:t>g</m:t>
              </m:r>
            </m:sub>
          </m:sSub>
          <m:r>
            <m:rPr>
              <m:sty m:val="p"/>
            </m:rPr>
            <m:t>=</m:t>
          </m:r>
          <m:sSub>
            <m:e>
              <m:r>
                <m:rPr>
                  <m:sty m:val="p"/>
                </m:rPr>
                <m:t>log</m:t>
              </m:r>
            </m:e>
            <m:sub>
              <m:r>
                <m:t>2</m:t>
              </m:r>
            </m:sub>
          </m:sSub>
          <m:d>
            <m:dPr>
              <m:begChr m:val="("/>
              <m:sepChr m:val=""/>
              <m:endChr m:val=")"/>
              <m:grow/>
            </m:dPr>
            <m:e>
              <m:sSup>
                <m:e>
                  <m:r>
                    <m:t>10</m:t>
                  </m:r>
                </m:e>
                <m:sup>
                  <m:r>
                    <m:t>6</m:t>
                  </m:r>
                </m:sup>
              </m:sSup>
              <m:sSub>
                <m:e>
                  <m:r>
                    <m:t>K</m:t>
                  </m:r>
                </m:e>
                <m:sub>
                  <m:r>
                    <m:t>i</m:t>
                  </m:r>
                  <m:r>
                    <m:t>g</m:t>
                  </m:r>
                </m:sub>
              </m:sSub>
              <m:r>
                <m:rPr>
                  <m:sty m:val="p"/>
                </m:rPr>
                <m:t>/</m:t>
              </m:r>
              <m:sSub>
                <m:e>
                  <m:r>
                    <m:t>s</m:t>
                  </m:r>
                </m:e>
                <m:sub>
                  <m:r>
                    <m:t>i</m:t>
                  </m:r>
                </m:sub>
              </m:sSub>
              <m:r>
                <m:rPr>
                  <m:sty m:val="p"/>
                </m:rPr>
                <m:t>+</m:t>
              </m:r>
              <m:r>
                <m:t>1</m:t>
              </m:r>
            </m:e>
          </m:d>
          <m:r>
            <m:rPr>
              <m:sty m:val="p"/>
            </m:rPr>
            <m:t>.</m:t>
          </m:r>
        </m:oMath>
      </m:oMathPara>
    </w:p>
    <w:p>
      <w:pPr>
        <w:pStyle w:val="FirstParagraph"/>
      </w:pPr>
      <w:r>
        <w:t xml:space="preserve">These are small selected RNA panels, not simulated complete transcriptomes. Known whole-assay libraries avoid incorrectly normalising by the sum of only twelve genes. Linear eQTL models were fitted to Y; the log transformation and count noise make their coefficients working observed-expression effects rather than exact estimates of every latent L coefficient.</w:t>
      </w:r>
    </w:p>
    <w:bookmarkEnd w:id="16"/>
    <w:bookmarkStart w:id="17" w:name="quality-checks"/>
    <w:p>
      <w:pPr>
        <w:pStyle w:val="Heading3"/>
        <w:keepNext/>
      </w:pPr>
      <w:r>
        <w:t xml:space="preserve">Quality checks</w:t>
      </w:r>
    </w:p>
    <w:p>
      <w:pPr>
        <w:pStyle w:val="FirstParagraph"/>
      </w:pPr>
      <w:r>
        <w:t xml:space="preserve">The workflow checks allele dosage validity, finite measurements, count integrality, positive library sizes, sample alignment and gene/variant dimensions. The released example includes explicit sample identifiers, covariates, library sizes, a variant map and a separate simulation truth table. These are analysis-ready synthetic matrices; FASTQ alignment, variant calling and imputation were not performed.</w:t>
      </w:r>
    </w:p>
    <w:p>
      <w:pPr>
        <w:pStyle w:val="BodyText"/>
      </w:pPr>
      <w:r>
        <w:t xml:space="preserve">Minor allele frequencies and within-ancestry Hardy–Weinberg summaries are descriptive. The Pearson approximation is reported only where all expected genotype counts are at least five. Small ancestry strata are flagged where that approximation is unsuitable; phenotype-dependent genotype filtering is not applied. Relatedness, sample swaps, real genotype uncertainty and sequencing artefacts require additional QC in the actual study.</w:t>
      </w:r>
    </w:p>
    <w:bookmarkEnd w:id="17"/>
    <w:bookmarkStart w:id="18" w:name="mofa-and-supervised-comparison"/>
    <w:p>
      <w:pPr>
        <w:pStyle w:val="Heading3"/>
        <w:keepNext/>
      </w:pPr>
      <w:r>
        <w:t xml:space="preserve">MOFA and supervised comparison</w:t>
      </w:r>
    </w:p>
    <w:p>
      <w:pPr>
        <w:pStyle w:val="FirstParagraph"/>
      </w:pPr>
      <w:r>
        <w:t xml:space="preserve">Both molecular views were adjusted for known synthetic ancestry and batch using training participants only, then standardised with training quantities. Subtype labels were excluded from this preparation and from MOFA factor fitting. The official mofapy2 engine used Gaussian working likelihoods for standardised dosage and log RNA views; this approximates discrete dosages and is not a binomial genotype likelihood.</w:t>
      </w:r>
    </w:p>
    <w:p>
      <w:pPr>
        <w:pStyle w:val="BodyText"/>
        <w:keepNext/>
      </w:pPr>
      <w:r>
        <w:t xml:space="preserve">For each view m, the factor model was</w:t>
      </w:r>
    </w:p>
    <w:p>
      <w:pPr>
        <w:pStyle w:val="BodyText"/>
      </w:pPr>
      <m:oMathPara>
        <m:oMathParaPr>
          <m:jc m:val="center"/>
        </m:oMathParaPr>
        <m:oMath>
          <m:sSup>
            <m:e>
              <m:r>
                <m:t>X</m:t>
              </m:r>
            </m:e>
            <m:sup>
              <m:r>
                <m:rPr>
                  <m:sty m:val="p"/>
                </m:rPr>
                <m:t>(</m:t>
              </m:r>
              <m:r>
                <m:t>m</m:t>
              </m:r>
              <m:r>
                <m:rPr>
                  <m:sty m:val="p"/>
                </m:rPr>
                <m:t>)</m:t>
              </m:r>
            </m:sup>
          </m:sSup>
          <m:r>
            <m:rPr>
              <m:sty m:val="p"/>
            </m:rPr>
            <m:t>=</m:t>
          </m:r>
          <m:r>
            <m:t>Z</m:t>
          </m:r>
          <m:sSup>
            <m:e>
              <m:r>
                <m:t>W</m:t>
              </m:r>
            </m:e>
            <m:sup>
              <m:r>
                <m:rPr>
                  <m:sty m:val="p"/>
                </m:rPr>
                <m:t>(</m:t>
              </m:r>
              <m:r>
                <m:t>m</m:t>
              </m:r>
              <m:r>
                <m:rPr>
                  <m:sty m:val="p"/>
                </m:rPr>
                <m:t>)</m:t>
              </m:r>
              <m:r>
                <m:rPr>
                  <m:sty m:val="p"/>
                </m:rPr>
                <m:t>⊤</m:t>
              </m:r>
            </m:sup>
          </m:sSup>
          <m:r>
            <m:rPr>
              <m:sty m:val="p"/>
            </m:rPr>
            <m:t>+</m:t>
          </m:r>
          <m:sSup>
            <m:e>
              <m:r>
                <m:t>E</m:t>
              </m:r>
            </m:e>
            <m:sup>
              <m:r>
                <m:rPr>
                  <m:sty m:val="p"/>
                </m:rPr>
                <m:t>(</m:t>
              </m:r>
              <m:r>
                <m:t>m</m:t>
              </m:r>
              <m:r>
                <m:rPr>
                  <m:sty m:val="p"/>
                </m:rPr>
                <m:t>)</m:t>
              </m:r>
            </m:sup>
          </m:sSup>
          <m:r>
            <m:rPr>
              <m:sty m:val="p"/>
            </m:rPr>
            <m:t>.</m:t>
          </m:r>
        </m:oMath>
      </m:oMathPara>
    </w:p>
    <w:p>
      <w:pPr>
        <w:pStyle w:val="FirstParagraph"/>
      </w:pPr>
      <w:r>
        <w:t xml:space="preserve">Factor budgets 2, 4 and 6 were selected using 15% masked entries in both training views. Masked entries were excluded from preprocessing fits; validation loss averaged the two standardised view errors with equal weight. Two genuinely distinct starts, PCA and perturbed PCA, were compared by training ELBO. The selected factor budget was refitted on complete training views. Its Gaussian posterior-mean score projection was applied consistently to training and independent test participants:</w:t>
      </w:r>
    </w:p>
    <w:p>
      <w:pPr>
        <w:pStyle w:val="BodyText"/>
      </w:pPr>
      <m:oMathPara>
        <m:oMathParaPr>
          <m:jc m:val="center"/>
        </m:oMathParaPr>
        <m:oMath>
          <m:sSub>
            <m:e>
              <m:acc>
                <m:accPr>
                  <m:chr m:val="̂"/>
                </m:accPr>
                <m:e>
                  <m:r>
                    <m:t>z</m:t>
                  </m:r>
                </m:e>
              </m:acc>
            </m:e>
            <m:sub>
              <m:r>
                <m:t>i</m:t>
              </m:r>
            </m:sub>
          </m:sSub>
          <m:r>
            <m:rPr>
              <m:sty m:val="p"/>
            </m:rPr>
            <m:t>=</m:t>
          </m:r>
          <m:r>
            <m:rPr>
              <m:sty m:val="p"/>
            </m:rPr>
            <m:t>(</m:t>
          </m:r>
          <m:r>
            <m:t>I</m:t>
          </m:r>
          <m:r>
            <m:rPr>
              <m:sty m:val="p"/>
            </m:rPr>
            <m:t>+</m:t>
          </m:r>
          <m:sSup>
            <m:e>
              <m:r>
                <m:t>W</m:t>
              </m:r>
            </m:e>
            <m:sup>
              <m:r>
                <m:rPr>
                  <m:sty m:val="p"/>
                </m:rPr>
                <m:t>⊤</m:t>
              </m:r>
            </m:sup>
          </m:sSup>
          <m:r>
            <m:rPr>
              <m:sty m:val="p"/>
            </m:rPr>
            <m:t>Λ</m:t>
          </m:r>
          <m:r>
            <m:t>W</m:t>
          </m:r>
          <m:sSup>
            <m:e>
              <m:r>
                <m:rPr>
                  <m:sty m:val="p"/>
                </m:rPr>
                <m:t>)</m:t>
              </m:r>
            </m:e>
            <m:sup>
              <m:r>
                <m:rPr>
                  <m:sty m:val="p"/>
                </m:rPr>
                <m:t>−</m:t>
              </m:r>
              <m:r>
                <m:t>1</m:t>
              </m:r>
            </m:sup>
          </m:sSup>
          <m:sSup>
            <m:e>
              <m:r>
                <m:t>W</m:t>
              </m:r>
            </m:e>
            <m:sup>
              <m:r>
                <m:rPr>
                  <m:sty m:val="p"/>
                </m:rPr>
                <m:t>⊤</m:t>
              </m:r>
            </m:sup>
          </m:sSup>
          <m:r>
            <m:rPr>
              <m:sty m:val="p"/>
            </m:rPr>
            <m:t>Λ</m:t>
          </m:r>
          <m:sSub>
            <m:e>
              <m:r>
                <m:t>x</m:t>
              </m:r>
            </m:e>
            <m:sub>
              <m:r>
                <m:t>i</m:t>
              </m:r>
            </m:sub>
          </m:sSub>
          <m:r>
            <m:rPr>
              <m:sty m:val="p"/>
            </m:rPr>
            <m:t>.</m:t>
          </m:r>
        </m:oMath>
      </m:oMathPara>
    </w:p>
    <w:p>
      <w:pPr>
        <w:pStyle w:val="FirstParagraph"/>
      </w:pPr>
      <w:r>
        <w:t xml:space="preserve">MOFA factors entered an L2-penalised logistic classifier with fixed C = 1 and the observed clinical covariates. PCA used the MOFA-selected factor budget. Genotype-only, RNA-only and combined-view ridge classifiers used the same clinical inputs, training-only scaling and fixed penalty. A clinical-only classifier was an additional reference. Their outputs are complete workflow comparisons, not evidence that one representation is universally optimal.</w:t>
      </w:r>
    </w:p>
    <w:p>
      <w:pPr>
        <w:pStyle w:val="BodyText"/>
      </w:pPr>
      <w:r>
        <w:t xml:space="preserve">Official R mixOmics DIABLO used the genotype and RNA molecular blocks plus an additional observed clinical-input block. This supplies the same clinical information available to the downstream ridge classifiers; it does not add a third molecular assay. Threefold stratified training-only validation selected one or two components and four or eight features per block, limited by available features. Covariate preparation was repeated inside each fold. Weighted centroid voting supplied class predictions. DIABLO was evaluated by balanced accuracy; hard labels were not treated as calibrated probabilities or used to manufacture ROC curves.</w:t>
      </w:r>
    </w:p>
    <w:p>
      <w:pPr>
        <w:pStyle w:val="BodyText"/>
      </w:pPr>
      <w:r>
        <w:t xml:space="preserve">All final classifiers were evaluated on 360 independent test participants per replicate. MOFA and ridge workflows additionally supplied ROC AUC and Brier scores. Ten independent replicates per scenario and sample size describe Monte Carlo variability, not clinical validation. All selected-fit convergence flags remain in the primary results.</w:t>
      </w:r>
    </w:p>
    <w:bookmarkEnd w:id="18"/>
    <w:bookmarkStart w:id="19" w:name="gene-level-cis-eqtl-tests"/>
    <w:p>
      <w:pPr>
        <w:pStyle w:val="Heading3"/>
        <w:keepNext/>
      </w:pPr>
      <w:r>
        <w:t xml:space="preserve">Gene level cis eQTL tests</w:t>
      </w:r>
    </w:p>
    <w:p>
      <w:pPr>
        <w:pStyle w:val="FirstParagraph"/>
      </w:pPr>
      <w:r>
        <w:t xml:space="preserve">For each gene, the four variants in its local synthetic region were modelled jointly:</w:t>
      </w:r>
    </w:p>
    <w:p>
      <w:pPr>
        <w:pStyle w:val="BodyText"/>
      </w:pPr>
      <m:oMathPara>
        <m:oMathParaPr>
          <m:jc m:val="center"/>
        </m:oMathParaPr>
        <m:oMath>
          <m:sSub>
            <m:e>
              <m:r>
                <m:t>Y</m:t>
              </m:r>
            </m:e>
            <m:sub>
              <m:r>
                <m:t>i</m:t>
              </m:r>
              <m:r>
                <m:t>g</m:t>
              </m:r>
            </m:sub>
          </m:sSub>
          <m:r>
            <m:rPr>
              <m:sty m:val="p"/>
            </m:rPr>
            <m:t>=</m:t>
          </m:r>
          <m:sSub>
            <m:e>
              <m:r>
                <m:t>α</m:t>
              </m:r>
            </m:e>
            <m:sub>
              <m:r>
                <m:t>g</m:t>
              </m:r>
            </m:sub>
          </m:sSub>
          <m:r>
            <m:rPr>
              <m:sty m:val="p"/>
            </m:rPr>
            <m:t>+</m:t>
          </m:r>
          <m:sSubSup>
            <m:e>
              <m:r>
                <m:t>C</m:t>
              </m:r>
            </m:e>
            <m:sub>
              <m:r>
                <m:t>i</m:t>
              </m:r>
            </m:sub>
            <m:sup>
              <m:r>
                <m:rPr>
                  <m:sty m:val="p"/>
                </m:rPr>
                <m:t>⊤</m:t>
              </m:r>
            </m:sup>
          </m:sSubSup>
          <m:sSub>
            <m:e>
              <m:r>
                <m:t>θ</m:t>
              </m:r>
            </m:e>
            <m:sub>
              <m:r>
                <m:t>g</m:t>
              </m:r>
            </m:sub>
          </m:sSub>
          <m:r>
            <m:rPr>
              <m:sty m:val="p"/>
            </m:rPr>
            <m:t>+</m:t>
          </m:r>
          <m:sSub>
            <m:e>
              <m:r>
                <m:t>τ</m:t>
              </m:r>
            </m:e>
            <m:sub>
              <m:r>
                <m:t>g</m:t>
              </m:r>
            </m:sub>
          </m:sSub>
          <m:sSub>
            <m:e>
              <m:r>
                <m:t>T</m:t>
              </m:r>
            </m:e>
            <m:sub>
              <m:r>
                <m:t>i</m:t>
              </m:r>
            </m:sub>
          </m:sSub>
          <m:r>
            <m:rPr>
              <m:sty m:val="p"/>
            </m:rPr>
            <m:t>+</m:t>
          </m:r>
          <m:nary>
            <m:naryPr>
              <m:chr m:val="∑"/>
              <m:limLoc m:val="undOvr"/>
              <m:subHide m:val="off"/>
              <m:supHide m:val="on"/>
            </m:naryPr>
            <m:sub>
              <m:r>
                <m:t>v</m:t>
              </m:r>
              <m:r>
                <m:rPr>
                  <m:sty m:val="p"/>
                </m:rPr>
                <m:t>∈</m:t>
              </m:r>
              <m:sSub>
                <m:e>
                  <m:r>
                    <m:rPr>
                      <m:scr m:val="script"/>
                      <m:sty m:val="p"/>
                    </m:rPr>
                    <m:t>C</m:t>
                  </m:r>
                </m:e>
                <m:sub>
                  <m:r>
                    <m:t>g</m:t>
                  </m:r>
                </m:sub>
              </m:sSub>
            </m:sub>
            <m:sup>
              <m:r>
                <m:t>​</m:t>
              </m:r>
            </m:sup>
            <m:e>
              <m:sSub>
                <m:e>
                  <m:r>
                    <m:t>b</m:t>
                  </m:r>
                </m:e>
                <m:sub>
                  <m:r>
                    <m:t>g</m:t>
                  </m:r>
                  <m:r>
                    <m:t>v</m:t>
                  </m:r>
                </m:sub>
              </m:sSub>
            </m:e>
          </m:nary>
          <m:sSub>
            <m:e>
              <m:r>
                <m:t>G</m:t>
              </m:r>
            </m:e>
            <m:sub>
              <m:r>
                <m:t>i</m:t>
              </m:r>
              <m:r>
                <m:t>v</m:t>
              </m:r>
            </m:sub>
          </m:sSub>
          <m:r>
            <m:rPr>
              <m:sty m:val="p"/>
            </m:rPr>
            <m:t>+</m:t>
          </m:r>
          <m:nary>
            <m:naryPr>
              <m:chr m:val="∑"/>
              <m:limLoc m:val="undOvr"/>
              <m:subHide m:val="off"/>
              <m:supHide m:val="on"/>
            </m:naryPr>
            <m:sub>
              <m:r>
                <m:t>v</m:t>
              </m:r>
              <m:r>
                <m:rPr>
                  <m:sty m:val="p"/>
                </m:rPr>
                <m:t>∈</m:t>
              </m:r>
              <m:sSub>
                <m:e>
                  <m:r>
                    <m:rPr>
                      <m:scr m:val="script"/>
                      <m:sty m:val="p"/>
                    </m:rPr>
                    <m:t>C</m:t>
                  </m:r>
                </m:e>
                <m:sub>
                  <m:r>
                    <m:t>g</m:t>
                  </m:r>
                </m:sub>
              </m:sSub>
            </m:sub>
            <m:sup>
              <m:r>
                <m:t>​</m:t>
              </m:r>
            </m:sup>
            <m:e>
              <m:sSub>
                <m:e>
                  <m:r>
                    <m:t>d</m:t>
                  </m:r>
                </m:e>
                <m:sub>
                  <m:r>
                    <m:t>g</m:t>
                  </m:r>
                  <m:r>
                    <m:t>v</m:t>
                  </m:r>
                </m:sub>
              </m:sSub>
            </m:e>
          </m:nary>
          <m:sSub>
            <m:e>
              <m:r>
                <m:t>G</m:t>
              </m:r>
            </m:e>
            <m:sub>
              <m:r>
                <m:t>i</m:t>
              </m:r>
              <m:r>
                <m:t>v</m:t>
              </m:r>
            </m:sub>
          </m:sSub>
          <m:sSub>
            <m:e>
              <m:r>
                <m:t>T</m:t>
              </m:r>
            </m:e>
            <m:sub>
              <m:r>
                <m:t>i</m:t>
              </m:r>
            </m:sub>
          </m:sSub>
          <m:r>
            <m:rPr>
              <m:sty m:val="p"/>
            </m:rPr>
            <m:t>+</m:t>
          </m:r>
          <m:sSub>
            <m:e>
              <m:r>
                <m:t>e</m:t>
              </m:r>
            </m:e>
            <m:sub>
              <m:r>
                <m:t>i</m:t>
              </m:r>
              <m:r>
                <m:t>g</m:t>
              </m:r>
            </m:sub>
          </m:sSub>
          <m:r>
            <m:rPr>
              <m:sty m:val="p"/>
            </m:rPr>
            <m:t>.</m:t>
          </m:r>
        </m:oMath>
      </m:oMathPara>
    </w:p>
    <w:p>
      <w:pPr>
        <w:pStyle w:val="FirstParagraph"/>
      </w:pPr>
      <w:r>
        <w:t xml:space="preserve">Age, cellular composition, known ancestry and batch were included as covariates. Molecular factors learned from the same expression matrix were not automatically included, since they could absorb the genetic signal of interest. The primary omnibus test compared this full model with a model containing only the covariates and subtype:</w:t>
      </w:r>
    </w:p>
    <w:p>
      <w:pPr>
        <w:pStyle w:val="BodyText"/>
      </w:pPr>
      <m:oMathPara>
        <m:oMathParaPr>
          <m:jc m:val="center"/>
        </m:oMathParaPr>
        <m:oMath>
          <m:sSubSup>
            <m:e>
              <m:r>
                <m:t>H</m:t>
              </m:r>
            </m:e>
            <m:sub>
              <m:r>
                <m:t>0</m:t>
              </m:r>
              <m:r>
                <m:t>g</m:t>
              </m:r>
            </m:sub>
            <m:sup>
              <m:r>
                <m:rPr>
                  <m:sty m:val="p"/>
                </m:rPr>
                <m:t>c</m:t>
              </m:r>
              <m:r>
                <m:rPr>
                  <m:sty m:val="p"/>
                </m:rPr>
                <m:t>i</m:t>
              </m:r>
              <m:r>
                <m:rPr>
                  <m:sty m:val="p"/>
                </m:rPr>
                <m:t>s</m:t>
              </m:r>
            </m:sup>
          </m:sSubSup>
          <m:r>
            <m:rPr>
              <m:sty m:val="p"/>
            </m:rPr>
            <m:t>:</m:t>
          </m:r>
          <m:r>
            <m:t> </m:t>
          </m:r>
          <m:sSub>
            <m:e>
              <m:r>
                <m:t>b</m:t>
              </m:r>
            </m:e>
            <m:sub>
              <m:r>
                <m:t>g</m:t>
              </m:r>
              <m:r>
                <m:t>v</m:t>
              </m:r>
            </m:sub>
          </m:sSub>
          <m:r>
            <m:rPr>
              <m:sty m:val="p"/>
            </m:rPr>
            <m:t>=</m:t>
          </m:r>
          <m:sSub>
            <m:e>
              <m:r>
                <m:t>d</m:t>
              </m:r>
            </m:e>
            <m:sub>
              <m:r>
                <m:t>g</m:t>
              </m:r>
              <m:r>
                <m:t>v</m:t>
              </m:r>
            </m:sub>
          </m:sSub>
          <m:r>
            <m:rPr>
              <m:sty m:val="p"/>
            </m:rPr>
            <m:t>=</m:t>
          </m:r>
          <m:r>
            <m:t>0</m:t>
          </m:r>
          <m:r>
            <m:t> </m:t>
          </m:r>
          <m:r>
            <m:rPr>
              <m:nor/>
              <m:sty m:val="p"/>
            </m:rPr>
            <m:t>for every </m:t>
          </m:r>
          <m:r>
            <m:t>v</m:t>
          </m:r>
          <m:r>
            <m:rPr>
              <m:sty m:val="p"/>
            </m:rPr>
            <m:t>∈</m:t>
          </m:r>
          <m:sSub>
            <m:e>
              <m:r>
                <m:rPr>
                  <m:scr m:val="script"/>
                  <m:sty m:val="p"/>
                </m:rPr>
                <m:t>C</m:t>
              </m:r>
            </m:e>
            <m:sub>
              <m:r>
                <m:t>g</m:t>
              </m:r>
            </m:sub>
          </m:sSub>
          <m:r>
            <m:rPr>
              <m:sty m:val="p"/>
            </m:rPr>
            <m:t>.</m:t>
          </m:r>
        </m:oMath>
      </m:oMathPara>
    </w:p>
    <w:p>
      <w:pPr>
        <w:pStyle w:val="FirstParagraph"/>
      </w:pPr>
      <w:r>
        <w:t xml:space="preserve">The separate interaction test compared the full model with one retaining common genotype effects but omitting interactions:</w:t>
      </w:r>
    </w:p>
    <w:p>
      <w:pPr>
        <w:pStyle w:val="BodyText"/>
      </w:pPr>
      <m:oMathPara>
        <m:oMathParaPr>
          <m:jc m:val="center"/>
        </m:oMathParaPr>
        <m:oMath>
          <m:sSubSup>
            <m:e>
              <m:r>
                <m:t>H</m:t>
              </m:r>
            </m:e>
            <m:sub>
              <m:r>
                <m:t>0</m:t>
              </m:r>
              <m:r>
                <m:t>g</m:t>
              </m:r>
            </m:sub>
            <m:sup>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o</m:t>
              </m:r>
              <m:r>
                <m:rPr>
                  <m:sty m:val="p"/>
                </m:rPr>
                <m:t>n</m:t>
              </m:r>
            </m:sup>
          </m:sSubSup>
          <m:r>
            <m:rPr>
              <m:sty m:val="p"/>
            </m:rPr>
            <m:t>:</m:t>
          </m:r>
          <m:r>
            <m:t> </m:t>
          </m:r>
          <m:sSub>
            <m:e>
              <m:r>
                <m:t>d</m:t>
              </m:r>
            </m:e>
            <m:sub>
              <m:r>
                <m:t>g</m:t>
              </m:r>
              <m:r>
                <m:t>v</m:t>
              </m:r>
            </m:sub>
          </m:sSub>
          <m:r>
            <m:rPr>
              <m:sty m:val="p"/>
            </m:rPr>
            <m:t>=</m:t>
          </m:r>
          <m:r>
            <m:t>0</m:t>
          </m:r>
          <m:r>
            <m:t> </m:t>
          </m:r>
          <m:r>
            <m:rPr>
              <m:nor/>
              <m:sty m:val="p"/>
            </m:rPr>
            <m:t>for every </m:t>
          </m:r>
          <m:r>
            <m:t>v</m:t>
          </m:r>
          <m:r>
            <m:rPr>
              <m:sty m:val="p"/>
            </m:rPr>
            <m:t>∈</m:t>
          </m:r>
          <m:sSub>
            <m:e>
              <m:r>
                <m:rPr>
                  <m:scr m:val="script"/>
                  <m:sty m:val="p"/>
                </m:rPr>
                <m:t>C</m:t>
              </m:r>
            </m:e>
            <m:sub>
              <m:r>
                <m:t>g</m:t>
              </m:r>
            </m:sub>
          </m:sSub>
          <m:r>
            <m:rPr>
              <m:sty m:val="p"/>
            </m:rPr>
            <m:t>.</m:t>
          </m:r>
        </m:oMath>
      </m:oMathPara>
    </w:p>
    <w:p>
      <w:pPr>
        <w:pStyle w:val="FirstParagraph"/>
      </w:pPr>
      <w:r>
        <w:t xml:space="preserve">Nested-model F statistics used the observed design ranks:</w:t>
      </w:r>
    </w:p>
    <w:p>
      <w:pPr>
        <w:pStyle w:val="BodyText"/>
      </w:pPr>
      <m:oMathPara>
        <m:oMathParaPr>
          <m:jc m:val="center"/>
        </m:oMathParaPr>
        <m:oMath>
          <m:sSub>
            <m:e>
              <m:r>
                <m:t>F</m:t>
              </m:r>
            </m:e>
            <m:sub>
              <m:r>
                <m:t>g</m:t>
              </m:r>
            </m:sub>
          </m:sSub>
          <m:r>
            <m:rPr>
              <m:sty m:val="p"/>
            </m:rPr>
            <m:t>=</m:t>
          </m:r>
          <m:f>
            <m:fPr>
              <m:type m:val="bar"/>
            </m:fPr>
            <m:num>
              <m:r>
                <m:rPr>
                  <m:sty m:val="p"/>
                </m:rPr>
                <m:t>(</m:t>
              </m:r>
              <m:sSub>
                <m:e>
                  <m:r>
                    <m:rPr>
                      <m:sty m:val="p"/>
                    </m:rPr>
                    <m:t>R</m:t>
                  </m:r>
                  <m:r>
                    <m:rPr>
                      <m:sty m:val="p"/>
                    </m:rPr>
                    <m:t>S</m:t>
                  </m:r>
                  <m:r>
                    <m:rPr>
                      <m:sty m:val="p"/>
                    </m:rPr>
                    <m:t>S</m:t>
                  </m:r>
                </m:e>
                <m:sub>
                  <m:r>
                    <m:t>0</m:t>
                  </m:r>
                </m:sub>
              </m:sSub>
              <m:r>
                <m:rPr>
                  <m:sty m:val="p"/>
                </m:rPr>
                <m:t>−</m:t>
              </m:r>
              <m:sSub>
                <m:e>
                  <m:r>
                    <m:rPr>
                      <m:sty m:val="p"/>
                    </m:rPr>
                    <m:t>R</m:t>
                  </m:r>
                  <m:r>
                    <m:rPr>
                      <m:sty m:val="p"/>
                    </m:rPr>
                    <m:t>S</m:t>
                  </m:r>
                  <m:r>
                    <m:rPr>
                      <m:sty m:val="p"/>
                    </m:rPr>
                    <m:t>S</m:t>
                  </m:r>
                </m:e>
                <m:sub>
                  <m:r>
                    <m:t>1</m:t>
                  </m:r>
                </m:sub>
              </m:sSub>
              <m:r>
                <m:rPr>
                  <m:sty m:val="p"/>
                </m:rPr>
                <m:t>)</m:t>
              </m:r>
              <m:r>
                <m:rPr>
                  <m:sty m:val="p"/>
                </m:rPr>
                <m:t>/</m:t>
              </m:r>
              <m:r>
                <m:rPr>
                  <m:sty m:val="p"/>
                </m:rPr>
                <m:t>(</m:t>
              </m:r>
              <m:sSub>
                <m:e>
                  <m:r>
                    <m:t>r</m:t>
                  </m:r>
                </m:e>
                <m:sub>
                  <m:r>
                    <m:t>1</m:t>
                  </m:r>
                </m:sub>
              </m:sSub>
              <m:r>
                <m:rPr>
                  <m:sty m:val="p"/>
                </m:rPr>
                <m:t>−</m:t>
              </m:r>
              <m:sSub>
                <m:e>
                  <m:r>
                    <m:t>r</m:t>
                  </m:r>
                </m:e>
                <m:sub>
                  <m:r>
                    <m:t>0</m:t>
                  </m:r>
                </m:sub>
              </m:sSub>
              <m:r>
                <m:rPr>
                  <m:sty m:val="p"/>
                </m:rPr>
                <m:t>)</m:t>
              </m:r>
            </m:num>
            <m:den>
              <m:sSub>
                <m:e>
                  <m:r>
                    <m:rPr>
                      <m:sty m:val="p"/>
                    </m:rPr>
                    <m:t>R</m:t>
                  </m:r>
                  <m:r>
                    <m:rPr>
                      <m:sty m:val="p"/>
                    </m:rPr>
                    <m:t>S</m:t>
                  </m:r>
                  <m:r>
                    <m:rPr>
                      <m:sty m:val="p"/>
                    </m:rPr>
                    <m:t>S</m:t>
                  </m:r>
                </m:e>
                <m:sub>
                  <m:r>
                    <m:t>1</m:t>
                  </m:r>
                </m:sub>
              </m:sSub>
              <m:r>
                <m:rPr>
                  <m:sty m:val="p"/>
                </m:rPr>
                <m:t>/</m:t>
              </m:r>
              <m:r>
                <m:rPr>
                  <m:sty m:val="p"/>
                </m:rPr>
                <m:t>(</m:t>
              </m:r>
              <m:r>
                <m:t>n</m:t>
              </m:r>
              <m:r>
                <m:rPr>
                  <m:sty m:val="p"/>
                </m:rPr>
                <m:t>−</m:t>
              </m:r>
              <m:sSub>
                <m:e>
                  <m:r>
                    <m:t>r</m:t>
                  </m:r>
                </m:e>
                <m:sub>
                  <m:r>
                    <m:t>1</m:t>
                  </m:r>
                </m:sub>
              </m:sSub>
              <m:r>
                <m:rPr>
                  <m:sty m:val="p"/>
                </m:rPr>
                <m:t>)</m:t>
              </m:r>
            </m:den>
          </m:f>
          <m:r>
            <m:rPr>
              <m:sty m:val="p"/>
            </m:rPr>
            <m:t>.</m:t>
          </m:r>
        </m:oMath>
      </m:oMathPara>
    </w:p>
    <w:p>
      <w:pPr>
        <w:pStyle w:val="FirstParagraph"/>
      </w:pPr>
      <w:r>
        <w:t xml:space="preserve">The nominal F reference assumes a correctly specified Gaussian linear model with homoscedastic errors. Count transformation makes this a working approximation; its realised error rates were assessed through the repeated null and abundance-only simulations rather than asserted to be exact. Genotype by subtype interaction tests assess differences directly; significance in one subtype and non-significance in another is not such a test.</w:t>
      </w:r>
    </w:p>
    <w:p>
      <w:pPr>
        <w:pStyle w:val="BodyText"/>
      </w:pPr>
      <w:r>
        <w:t xml:space="preserve">Benjamini–Hochberg adjustment was applied separately to twelve gene-level omnibus P values and twelve interaction P values within each cohort. For ordered P values, the adjusted values were</w:t>
      </w:r>
    </w:p>
    <w:p>
      <w:pPr>
        <w:pStyle w:val="BodyText"/>
      </w:pPr>
      <m:oMathPara>
        <m:oMathParaPr>
          <m:jc m:val="center"/>
        </m:oMathParaPr>
        <m:oMath>
          <m:sSub>
            <m:e>
              <m:r>
                <m:t>q</m:t>
              </m:r>
            </m:e>
            <m:sub>
              <m:r>
                <m:rPr>
                  <m:sty m:val="p"/>
                </m:rPr>
                <m:t>(</m:t>
              </m:r>
              <m:r>
                <m:t>j</m:t>
              </m:r>
              <m:r>
                <m:rPr>
                  <m:sty m:val="p"/>
                </m:rPr>
                <m:t>)</m:t>
              </m:r>
            </m:sub>
          </m:sSub>
          <m:r>
            <m:rPr>
              <m:sty m:val="p"/>
            </m:rPr>
            <m:t>=</m:t>
          </m:r>
          <m:r>
            <m:rPr>
              <m:sty m:val="p"/>
            </m:rPr>
            <m:t>min</m:t>
          </m:r>
          <m:d>
            <m:dPr>
              <m:begChr m:val="{"/>
              <m:sepChr m:val=""/>
              <m:endChr m:val="}"/>
              <m:grow/>
            </m:dPr>
            <m:e>
              <m:r>
                <m:t>1</m:t>
              </m:r>
              <m:r>
                <m:rPr>
                  <m:sty m:val="p"/>
                </m:rPr>
                <m:t>,</m:t>
              </m:r>
              <m:limLow>
                <m:e>
                  <m:r>
                    <m:rPr>
                      <m:sty m:val="p"/>
                    </m:rPr>
                    <m:t>min</m:t>
                  </m:r>
                </m:e>
                <m:lim>
                  <m:r>
                    <m:t>k</m:t>
                  </m:r>
                  <m:r>
                    <m:rPr>
                      <m:sty m:val="p"/>
                    </m:rPr>
                    <m:t>≥</m:t>
                  </m:r>
                  <m:r>
                    <m:t>j</m:t>
                  </m:r>
                </m:lim>
              </m:limLow>
              <m:f>
                <m:fPr>
                  <m:type m:val="bar"/>
                </m:fPr>
                <m:num>
                  <m:r>
                    <m:t>12</m:t>
                  </m:r>
                  <m:sSub>
                    <m:e>
                      <m:r>
                        <m:t>p</m:t>
                      </m:r>
                    </m:e>
                    <m:sub>
                      <m:r>
                        <m:rPr>
                          <m:sty m:val="p"/>
                        </m:rPr>
                        <m:t>(</m:t>
                      </m:r>
                      <m:r>
                        <m:t>k</m:t>
                      </m:r>
                      <m:r>
                        <m:rPr>
                          <m:sty m:val="p"/>
                        </m:rPr>
                        <m:t>)</m:t>
                      </m:r>
                    </m:sub>
                  </m:sSub>
                </m:num>
                <m:den>
                  <m:r>
                    <m:t>k</m:t>
                  </m:r>
                </m:den>
              </m:f>
            </m:e>
          </m:d>
          <m:r>
            <m:rPr>
              <m:sty m:val="p"/>
            </m:rPr>
            <m:t>.</m:t>
          </m:r>
        </m:oMath>
      </m:oMathPara>
    </w:p>
    <w:p>
      <w:pPr>
        <w:pStyle w:val="FirstParagraph"/>
      </w:pPr>
      <w:r>
        <w:t xml:space="preserve">The two families were not jointly controlled. Dependence assumptions and model approximation remain relevant, so empirical mean false discovery proportions are reported. Sensitivity used the known gene-level truth. An LD-correlated tag association was not called a false causal discovery: these tests identify a gene-level regional association, not the causal nucleotide. No fine-mapping, colocalisation, mediation or pQTL analysis was performed.</w:t>
      </w:r>
    </w:p>
    <w:bookmarkEnd w:id="19"/>
    <w:bookmarkStart w:id="20" w:name="Xd9753f1fa0c8e6cb1cd672fcc9e3f520026c7ff"/>
    <w:p>
      <w:pPr>
        <w:pStyle w:val="Heading3"/>
        <w:keepNext/>
      </w:pPr>
      <w:r>
        <w:t xml:space="preserve">Variance robustness and fresh negative controls</w:t>
      </w:r>
    </w:p>
    <w:p>
      <w:pPr>
        <w:pStyle w:val="FirstParagraph"/>
      </w:pPr>
      <w:r>
        <w:t xml:space="preserve">The original abundance-only N = 480 omnibus cell showed realised FDR of 0.110. After observing this result, an explicit protocol amendment added HC3 covariance estimates on the unchanged gene models and 800 fresh null/abundance-only cohorts, 200 per scenario and sample size. The sensitivity implementation and new seed bank were frozen before those fresh cohorts were evaluated. No original effect sizes, seeds, thresholds or results were replaced.</w:t>
      </w:r>
    </w:p>
    <w:p>
      <w:pPr>
        <w:pStyle w:val="BodyText"/>
      </w:pPr>
      <w:r>
        <w:t xml:space="preserve">For design matrix X, residuals e and leverage h, HC3 used</w:t>
      </w:r>
    </w:p>
    <w:p>
      <w:pPr>
        <w:pStyle w:val="BodyText"/>
      </w:pPr>
      <m:oMathPara>
        <m:oMathParaPr>
          <m:jc m:val="center"/>
        </m:oMathParaPr>
        <m:oMath>
          <m:sSub>
            <m:e>
              <m:acc>
                <m:accPr>
                  <m:chr m:val="̂"/>
                </m:accPr>
                <m:e>
                  <m:r>
                    <m:t>V</m:t>
                  </m:r>
                </m:e>
              </m:acc>
            </m:e>
            <m:sub>
              <m:r>
                <m:rPr>
                  <m:sty m:val="p"/>
                </m:rPr>
                <m:t>H</m:t>
              </m:r>
              <m:r>
                <m:rPr>
                  <m:sty m:val="p"/>
                </m:rPr>
                <m:t>C</m:t>
              </m:r>
              <m:r>
                <m:rPr>
                  <m:sty m:val="p"/>
                </m:rPr>
                <m:t>3</m:t>
              </m:r>
            </m:sub>
          </m:sSub>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rPr>
              <m:sty m:val="p"/>
            </m:rPr>
            <m:t>diag</m:t>
          </m:r>
          <m:d>
            <m:dPr>
              <m:begChr m:val="{"/>
              <m:sepChr m:val=""/>
              <m:endChr m:val="}"/>
              <m:grow/>
            </m:dPr>
            <m:e>
              <m:f>
                <m:fPr>
                  <m:type m:val="bar"/>
                </m:fPr>
                <m:num>
                  <m:sSubSup>
                    <m:e>
                      <m:r>
                        <m:t>e</m:t>
                      </m:r>
                    </m:e>
                    <m:sub>
                      <m:r>
                        <m:t>i</m:t>
                      </m:r>
                    </m:sub>
                    <m:sup>
                      <m:r>
                        <m:t>2</m:t>
                      </m:r>
                    </m:sup>
                  </m:sSubSup>
                </m:num>
                <m:den>
                  <m:r>
                    <m:rPr>
                      <m:sty m:val="p"/>
                    </m:rPr>
                    <m:t>(</m:t>
                  </m:r>
                  <m:r>
                    <m:t>1</m:t>
                  </m:r>
                  <m:r>
                    <m:rPr>
                      <m:sty m:val="p"/>
                    </m:rPr>
                    <m:t>−</m:t>
                  </m:r>
                  <m:sSub>
                    <m:e>
                      <m:r>
                        <m:t>h</m:t>
                      </m:r>
                    </m:e>
                    <m:sub>
                      <m:r>
                        <m:t>i</m:t>
                      </m:r>
                    </m:sub>
                  </m:sSub>
                  <m:sSup>
                    <m:e>
                      <m:r>
                        <m:rPr>
                          <m:sty m:val="p"/>
                        </m:rPr>
                        <m:t>)</m:t>
                      </m:r>
                    </m:e>
                    <m:sup>
                      <m:r>
                        <m:t>2</m:t>
                      </m:r>
                    </m:sup>
                  </m:sSup>
                </m:den>
              </m:f>
            </m:e>
          </m:d>
          <m:r>
            <m:t>X</m:t>
          </m:r>
          <m:r>
            <m:rPr>
              <m:sty m:val="p"/>
            </m:rPr>
            <m:t>(</m:t>
          </m:r>
          <m:sSup>
            <m:e>
              <m:r>
                <m:t>X</m:t>
              </m:r>
            </m:e>
            <m:sup>
              <m:r>
                <m:rPr>
                  <m:sty m:val="p"/>
                </m:rPr>
                <m:t>⊤</m:t>
              </m:r>
            </m:sup>
          </m:sSup>
          <m:r>
            <m:t>X</m:t>
          </m:r>
          <m:sSup>
            <m:e>
              <m:r>
                <m:rPr>
                  <m:sty m:val="p"/>
                </m:rPr>
                <m:t>)</m:t>
              </m:r>
            </m:e>
            <m:sup>
              <m:r>
                <m:rPr>
                  <m:sty m:val="p"/>
                </m:rPr>
                <m:t>−</m:t>
              </m:r>
              <m:r>
                <m:t>1</m:t>
              </m:r>
            </m:sup>
          </m:sSup>
          <m:r>
            <m:rPr>
              <m:sty m:val="p"/>
            </m:rPr>
            <m:t>.</m:t>
          </m:r>
        </m:oMath>
      </m:oMathPara>
    </w:p>
    <w:p>
      <w:pPr>
        <w:pStyle w:val="FirstParagraph"/>
      </w:pPr>
      <w:r>
        <w:t xml:space="preserve">For the q tested coefficients, the Wald quantity divided by q was compared with an approximate F distribution using q and n minus the design rank degrees of freedom. BH was applied separately within the same twelve-gene families. This is a variance-robust sensitivity analysis, not exact finite-sample calibration or a correction for every possible mean-model error.</w:t>
      </w:r>
    </w:p>
    <w:bookmarkEnd w:id="20"/>
    <w:bookmarkEnd w:id="21"/>
    <w:bookmarkStart w:id="45" w:name="results"/>
    <w:p>
      <w:pPr>
        <w:pStyle w:val="Heading2"/>
        <w:keepNext/>
      </w:pPr>
      <w:r>
        <w:t xml:space="preserve">Results</w:t>
      </w:r>
    </w:p>
    <w:bookmarkStart w:id="22" w:name="an-inspectable-study-example"/>
    <w:p>
      <w:pPr>
        <w:pStyle w:val="Heading3"/>
        <w:keepNext/>
      </w:pPr>
      <w:r>
        <w:t xml:space="preserve">An inspectable study example</w:t>
      </w:r>
    </w:p>
    <w:p>
      <w:pPr>
        <w:pStyle w:val="FirstParagraph"/>
      </w:pPr>
      <w:r>
        <w:t xml:space="preserve">The released example was fixed before evaluation at 240 cases in the subtype-eQTL setting. It contains both subtype groups, local genotype variation and count-derived RNA measurements. Table 2 records its principal QC checks. Perfect call rate reflects the synthetic generator and should not be expected in actual samples.</w:t>
      </w:r>
    </w:p>
    <w:p>
      <w:pPr>
        <w:pStyle w:val="BodyText"/>
        <w:keepNext/>
      </w:pPr>
      <w:r>
        <w:t xml:space="preserve">Table 2. QC of the prespecified small example. Ancestry-specific HWE details are supplied in the results directory.</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shd w:fill="E8EFF4"/>
          </w:tcPr>
          <w:p>
            <w:pPr>
              <w:keepNext/>
              <w:spacing w:before="60" w:after="60"/>
            </w:pPr>
            <w:r>
              <w:rPr>
                <w:b/>
                <w:sz w:val="19"/>
              </w:rPr>
              <w:t>Check</w:t>
            </w:r>
          </w:p>
        </w:tc>
        <w:tc>
          <w:tcPr>
            <w:tcW w:type="dxa" w:w="5040"/>
            <w:vAlign w:val="center"/>
            <w:shd w:fill="E8EFF4"/>
          </w:tcPr>
          <w:p>
            <w:pPr>
              <w:keepNext/>
              <w:spacing w:before="60" w:after="60"/>
            </w:pPr>
            <w:r>
              <w:rPr>
                <w:b/>
                <w:sz w:val="19"/>
              </w:rPr>
              <w:t>Result</w:t>
            </w:r>
          </w:p>
        </w:tc>
      </w:tr>
      <w:tr>
        <w:trPr>
          <w:cantSplit/>
        </w:trPr>
        <w:tc>
          <w:tcPr>
            <w:tcW w:type="dxa" w:w="5040"/>
            <w:vAlign w:val="center"/>
            <w:shd w:fill="F5F7F9"/>
          </w:tcPr>
          <w:p>
            <w:pPr>
              <w:keepNext/>
              <w:spacing w:before="60" w:after="60"/>
            </w:pPr>
            <w:r>
              <w:rPr>
                <w:b w:val="0"/>
                <w:sz w:val="19"/>
              </w:rPr>
              <w:t>Genotype call rate</w:t>
            </w:r>
          </w:p>
        </w:tc>
        <w:tc>
          <w:tcPr>
            <w:tcW w:type="dxa" w:w="5040"/>
            <w:vAlign w:val="center"/>
            <w:shd w:fill="F5F7F9"/>
          </w:tcPr>
          <w:p>
            <w:pPr>
              <w:keepNext/>
              <w:spacing w:before="60" w:after="60"/>
            </w:pPr>
            <w:r>
              <w:rPr>
                <w:b w:val="0"/>
                <w:sz w:val="19"/>
              </w:rPr>
              <w:t>100.0%</w:t>
            </w:r>
          </w:p>
        </w:tc>
      </w:tr>
      <w:tr>
        <w:trPr>
          <w:cantSplit/>
        </w:trPr>
        <w:tc>
          <w:tcPr>
            <w:tcW w:type="dxa" w:w="5040"/>
            <w:vAlign w:val="center"/>
            <w:shd w:fill="FFFFFF"/>
          </w:tcPr>
          <w:p>
            <w:pPr>
              <w:keepNext/>
              <w:spacing w:before="60" w:after="60"/>
            </w:pPr>
            <w:r>
              <w:rPr>
                <w:b w:val="0"/>
                <w:sz w:val="19"/>
              </w:rPr>
              <w:t>Minimum observed minor allele frequency</w:t>
            </w:r>
          </w:p>
        </w:tc>
        <w:tc>
          <w:tcPr>
            <w:tcW w:type="dxa" w:w="5040"/>
            <w:vAlign w:val="center"/>
            <w:shd w:fill="FFFFFF"/>
          </w:tcPr>
          <w:p>
            <w:pPr>
              <w:keepNext/>
              <w:spacing w:before="60" w:after="60"/>
            </w:pPr>
            <w:r>
              <w:rPr>
                <w:b w:val="0"/>
                <w:sz w:val="19"/>
              </w:rPr>
              <w:t>0.142</w:t>
            </w:r>
          </w:p>
        </w:tc>
      </w:tr>
      <w:tr>
        <w:trPr>
          <w:cantSplit/>
        </w:trPr>
        <w:tc>
          <w:tcPr>
            <w:tcW w:type="dxa" w:w="5040"/>
            <w:vAlign w:val="center"/>
            <w:shd w:fill="F5F7F9"/>
          </w:tcPr>
          <w:p>
            <w:pPr>
              <w:keepNext/>
              <w:spacing w:before="60" w:after="60"/>
            </w:pPr>
            <w:r>
              <w:rPr>
                <w:b w:val="0"/>
                <w:sz w:val="19"/>
              </w:rPr>
              <w:t>Valid allele dosages</w:t>
            </w:r>
          </w:p>
        </w:tc>
        <w:tc>
          <w:tcPr>
            <w:tcW w:type="dxa" w:w="5040"/>
            <w:vAlign w:val="center"/>
            <w:shd w:fill="F5F7F9"/>
          </w:tcPr>
          <w:p>
            <w:pPr>
              <w:keepNext/>
              <w:spacing w:before="60" w:after="60"/>
            </w:pPr>
            <w:r>
              <w:rPr>
                <w:b w:val="0"/>
                <w:sz w:val="19"/>
              </w:rPr>
              <w:t>24 of 24 variants</w:t>
            </w:r>
          </w:p>
        </w:tc>
      </w:tr>
      <w:tr>
        <w:trPr>
          <w:cantSplit/>
        </w:trPr>
        <w:tc>
          <w:tcPr>
            <w:tcW w:type="dxa" w:w="5040"/>
            <w:vAlign w:val="center"/>
            <w:shd w:fill="FFFFFF"/>
          </w:tcPr>
          <w:p>
            <w:pPr>
              <w:keepNext/>
              <w:spacing w:before="60" w:after="60"/>
            </w:pPr>
            <w:r>
              <w:rPr>
                <w:b w:val="0"/>
                <w:sz w:val="19"/>
              </w:rPr>
              <w:t>Finite RNA measurements</w:t>
            </w:r>
          </w:p>
        </w:tc>
        <w:tc>
          <w:tcPr>
            <w:tcW w:type="dxa" w:w="5040"/>
            <w:vAlign w:val="center"/>
            <w:shd w:fill="FFFFFF"/>
          </w:tcPr>
          <w:p>
            <w:pPr>
              <w:keepNext/>
              <w:spacing w:before="60" w:after="60"/>
            </w:pPr>
            <w:r>
              <w:rPr>
                <w:b w:val="0"/>
                <w:sz w:val="19"/>
              </w:rPr>
              <w:t>12 of 12 genes</w:t>
            </w:r>
          </w:p>
        </w:tc>
      </w:tr>
      <w:tr>
        <w:trPr>
          <w:cantSplit/>
        </w:trPr>
        <w:tc>
          <w:tcPr>
            <w:tcW w:type="dxa" w:w="5040"/>
            <w:vAlign w:val="center"/>
            <w:shd w:fill="F5F7F9"/>
          </w:tcPr>
          <w:p>
            <w:pPr>
              <w:keepNext/>
              <w:spacing w:before="60" w:after="60"/>
            </w:pPr>
            <w:r>
              <w:rPr>
                <w:b w:val="0"/>
                <w:sz w:val="19"/>
              </w:rPr>
              <w:t>Valid counts and positive library sizes</w:t>
            </w:r>
          </w:p>
        </w:tc>
        <w:tc>
          <w:tcPr>
            <w:tcW w:type="dxa" w:w="5040"/>
            <w:vAlign w:val="center"/>
            <w:shd w:fill="F5F7F9"/>
          </w:tcPr>
          <w:p>
            <w:pPr>
              <w:keepNext/>
              <w:spacing w:before="60" w:after="60"/>
            </w:pPr>
            <w:r>
              <w:rPr>
                <w:b w:val="0"/>
                <w:sz w:val="19"/>
              </w:rPr>
              <w:t>Passed</w:t>
            </w:r>
          </w:p>
        </w:tc>
      </w:tr>
      <w:tr>
        <w:trPr>
          <w:cantSplit/>
        </w:trPr>
        <w:tc>
          <w:tcPr>
            <w:tcW w:type="dxa" w:w="5040"/>
            <w:vAlign w:val="center"/>
            <w:shd w:fill="FFFFFF"/>
          </w:tcPr>
          <w:p>
            <w:pPr>
              <w:keepNext/>
              <w:spacing w:before="60" w:after="60"/>
            </w:pPr>
            <w:r>
              <w:rPr>
                <w:b w:val="0"/>
                <w:sz w:val="19"/>
              </w:rPr>
              <w:t>TNBC and non TNBC cases</w:t>
            </w:r>
          </w:p>
        </w:tc>
        <w:tc>
          <w:tcPr>
            <w:tcW w:type="dxa" w:w="5040"/>
            <w:vAlign w:val="center"/>
            <w:shd w:fill="FFFFFF"/>
          </w:tcPr>
          <w:p>
            <w:pPr>
              <w:keepNext/>
              <w:spacing w:before="60" w:after="60"/>
            </w:pPr>
            <w:r>
              <w:rPr>
                <w:b w:val="0"/>
                <w:sz w:val="19"/>
              </w:rPr>
              <w:t>79 and 161</w:t>
            </w:r>
          </w:p>
        </w:tc>
      </w:tr>
      <w:tr>
        <w:trPr>
          <w:cantSplit/>
        </w:trPr>
        <w:tc>
          <w:tcPr>
            <w:tcW w:type="dxa" w:w="5040"/>
            <w:vAlign w:val="center"/>
            <w:shd w:fill="F5F7F9"/>
          </w:tcPr>
          <w:p>
            <w:pPr>
              <w:keepNext w:val="0"/>
              <w:spacing w:before="60" w:after="60"/>
            </w:pPr>
            <w:r>
              <w:rPr>
                <w:b w:val="0"/>
                <w:sz w:val="19"/>
              </w:rPr>
              <w:t>Protein features</w:t>
            </w:r>
          </w:p>
        </w:tc>
        <w:tc>
          <w:tcPr>
            <w:tcW w:type="dxa" w:w="5040"/>
            <w:vAlign w:val="center"/>
            <w:shd w:fill="F5F7F9"/>
          </w:tcPr>
          <w:p>
            <w:pPr>
              <w:keepNext w:val="0"/>
              <w:spacing w:before="60" w:after="60"/>
            </w:pPr>
            <w:r>
              <w:rPr>
                <w:b w:val="0"/>
                <w:sz w:val="19"/>
              </w:rPr>
              <w:t>0</w:t>
            </w:r>
          </w:p>
        </w:tc>
      </w:tr>
    </w:tbl>
    <w:bookmarkEnd w:id="22"/>
    <w:bookmarkStart w:id="26" w:name="X62e327716e3b9fbeffa0bf7ccdabef0ed4ae557"/>
    <w:p>
      <w:pPr>
        <w:pStyle w:val="Heading3"/>
        <w:keepNext/>
      </w:pPr>
      <w:r>
        <w:t xml:space="preserve">Integration and independent subtype prediction</w:t>
      </w:r>
    </w:p>
    <w:p>
      <w:pPr>
        <w:pStyle w:val="FirstParagraph"/>
      </w:pPr>
      <w:r>
        <w:t xml:space="preserve">MOFA and DIABLO answered different fitting questions but were evaluated against the same independent subtype outcomes. Table 3 reports balanced accuracy at N = 480. The combined and single-view baselines show whether any apparent gain comes from integration, RNA abundance differences or clinical information. The null and shared-eQTL settings need not permit chance-level prediction, because subtype sampling already depends on observed clinical variables and one genotype.</w:t>
      </w:r>
    </w:p>
    <w:p>
      <w:pPr>
        <w:pStyle w:val="BodyText"/>
        <w:keepNext/>
      </w:pPr>
      <w:r>
        <w:t xml:space="preserve">Table 3. Mean independent-test balanced accuracy across ten replicates per scenario at training N = 480.</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Scenario</w:t>
            </w:r>
          </w:p>
        </w:tc>
        <w:tc>
          <w:tcPr>
            <w:tcW w:type="dxa" w:w="1680"/>
            <w:vAlign w:val="center"/>
            <w:shd w:fill="E8EFF4"/>
          </w:tcPr>
          <w:p>
            <w:pPr>
              <w:keepNext/>
              <w:spacing w:before="60" w:after="60"/>
            </w:pPr>
            <w:r>
              <w:rPr>
                <w:b/>
                <w:sz w:val="19"/>
              </w:rPr>
              <w:t>MOFA</w:t>
            </w:r>
          </w:p>
        </w:tc>
        <w:tc>
          <w:tcPr>
            <w:tcW w:type="dxa" w:w="1680"/>
            <w:vAlign w:val="center"/>
            <w:shd w:fill="E8EFF4"/>
          </w:tcPr>
          <w:p>
            <w:pPr>
              <w:keepNext/>
              <w:spacing w:before="60" w:after="60"/>
            </w:pPr>
            <w:r>
              <w:rPr>
                <w:b/>
                <w:sz w:val="19"/>
              </w:rPr>
              <w:t>DIABLO</w:t>
            </w:r>
          </w:p>
        </w:tc>
        <w:tc>
          <w:tcPr>
            <w:tcW w:type="dxa" w:w="1680"/>
            <w:vAlign w:val="center"/>
            <w:shd w:fill="E8EFF4"/>
          </w:tcPr>
          <w:p>
            <w:pPr>
              <w:keepNext/>
              <w:spacing w:before="60" w:after="60"/>
            </w:pPr>
            <w:r>
              <w:rPr>
                <w:b/>
                <w:sz w:val="19"/>
              </w:rPr>
              <w:t>Combined ridge</w:t>
            </w:r>
          </w:p>
        </w:tc>
        <w:tc>
          <w:tcPr>
            <w:tcW w:type="dxa" w:w="1680"/>
            <w:vAlign w:val="center"/>
            <w:shd w:fill="E8EFF4"/>
          </w:tcPr>
          <w:p>
            <w:pPr>
              <w:keepNext/>
              <w:spacing w:before="60" w:after="60"/>
            </w:pPr>
            <w:r>
              <w:rPr>
                <w:b/>
                <w:sz w:val="19"/>
              </w:rPr>
              <w:t>RNA ridge</w:t>
            </w:r>
          </w:p>
        </w:tc>
        <w:tc>
          <w:tcPr>
            <w:tcW w:type="dxa" w:w="1680"/>
            <w:vAlign w:val="center"/>
            <w:shd w:fill="E8EFF4"/>
          </w:tcPr>
          <w:p>
            <w:pPr>
              <w:keepNext/>
              <w:spacing w:before="60" w:after="60"/>
            </w:pPr>
            <w:r>
              <w:rPr>
                <w:b/>
                <w:sz w:val="19"/>
              </w:rPr>
              <w:t>Clinical only</w:t>
            </w:r>
          </w:p>
        </w:tc>
      </w:tr>
      <w:tr>
        <w:trPr>
          <w:cantSplit/>
        </w:trPr>
        <w:tc>
          <w:tcPr>
            <w:tcW w:type="dxa" w:w="1680"/>
            <w:vAlign w:val="center"/>
            <w:shd w:fill="F5F7F9"/>
          </w:tcPr>
          <w:p>
            <w:pPr>
              <w:keepNext/>
              <w:spacing w:before="60" w:after="60"/>
            </w:pPr>
            <w:r>
              <w:rPr>
                <w:b w:val="0"/>
                <w:sz w:val="19"/>
              </w:rPr>
              <w:t>Null</w:t>
            </w:r>
          </w:p>
        </w:tc>
        <w:tc>
          <w:tcPr>
            <w:tcW w:type="dxa" w:w="1680"/>
            <w:vAlign w:val="center"/>
            <w:shd w:fill="F5F7F9"/>
          </w:tcPr>
          <w:p>
            <w:pPr>
              <w:keepNext/>
              <w:spacing w:before="60" w:after="60"/>
            </w:pPr>
            <w:r>
              <w:rPr>
                <w:b w:val="0"/>
                <w:sz w:val="19"/>
              </w:rPr>
              <w:t>0.528</w:t>
            </w:r>
          </w:p>
        </w:tc>
        <w:tc>
          <w:tcPr>
            <w:tcW w:type="dxa" w:w="1680"/>
            <w:vAlign w:val="center"/>
            <w:shd w:fill="F5F7F9"/>
          </w:tcPr>
          <w:p>
            <w:pPr>
              <w:keepNext/>
              <w:spacing w:before="60" w:after="60"/>
            </w:pPr>
            <w:r>
              <w:rPr>
                <w:b w:val="0"/>
                <w:sz w:val="19"/>
              </w:rPr>
              <w:t>0.572</w:t>
            </w:r>
          </w:p>
        </w:tc>
        <w:tc>
          <w:tcPr>
            <w:tcW w:type="dxa" w:w="1680"/>
            <w:vAlign w:val="center"/>
            <w:shd w:fill="F5F7F9"/>
          </w:tcPr>
          <w:p>
            <w:pPr>
              <w:keepNext/>
              <w:spacing w:before="60" w:after="60"/>
            </w:pPr>
            <w:r>
              <w:rPr>
                <w:b w:val="0"/>
                <w:sz w:val="19"/>
              </w:rPr>
              <w:t>0.522</w:t>
            </w:r>
          </w:p>
        </w:tc>
        <w:tc>
          <w:tcPr>
            <w:tcW w:type="dxa" w:w="1680"/>
            <w:vAlign w:val="center"/>
            <w:shd w:fill="F5F7F9"/>
          </w:tcPr>
          <w:p>
            <w:pPr>
              <w:keepNext/>
              <w:spacing w:before="60" w:after="60"/>
            </w:pPr>
            <w:r>
              <w:rPr>
                <w:b w:val="0"/>
                <w:sz w:val="19"/>
              </w:rPr>
              <w:t>0.533</w:t>
            </w:r>
          </w:p>
        </w:tc>
        <w:tc>
          <w:tcPr>
            <w:tcW w:type="dxa" w:w="1680"/>
            <w:vAlign w:val="center"/>
            <w:shd w:fill="F5F7F9"/>
          </w:tcPr>
          <w:p>
            <w:pPr>
              <w:keepNext/>
              <w:spacing w:before="60" w:after="60"/>
            </w:pPr>
            <w:r>
              <w:rPr>
                <w:b w:val="0"/>
                <w:sz w:val="19"/>
              </w:rPr>
              <w:t>0.528</w:t>
            </w:r>
          </w:p>
        </w:tc>
      </w:tr>
      <w:tr>
        <w:trPr>
          <w:cantSplit/>
        </w:trPr>
        <w:tc>
          <w:tcPr>
            <w:tcW w:type="dxa" w:w="1680"/>
            <w:vAlign w:val="center"/>
            <w:shd w:fill="FFFFFF"/>
          </w:tcPr>
          <w:p>
            <w:pPr>
              <w:keepNext/>
              <w:spacing w:before="60" w:after="60"/>
            </w:pPr>
            <w:r>
              <w:rPr>
                <w:b w:val="0"/>
                <w:sz w:val="19"/>
              </w:rPr>
              <w:t>Shared eQTL</w:t>
            </w:r>
          </w:p>
        </w:tc>
        <w:tc>
          <w:tcPr>
            <w:tcW w:type="dxa" w:w="1680"/>
            <w:vAlign w:val="center"/>
            <w:shd w:fill="FFFFFF"/>
          </w:tcPr>
          <w:p>
            <w:pPr>
              <w:keepNext/>
              <w:spacing w:before="60" w:after="60"/>
            </w:pPr>
            <w:r>
              <w:rPr>
                <w:b w:val="0"/>
                <w:sz w:val="19"/>
              </w:rPr>
              <w:t>0.530</w:t>
            </w:r>
          </w:p>
        </w:tc>
        <w:tc>
          <w:tcPr>
            <w:tcW w:type="dxa" w:w="1680"/>
            <w:vAlign w:val="center"/>
            <w:shd w:fill="FFFFFF"/>
          </w:tcPr>
          <w:p>
            <w:pPr>
              <w:keepNext/>
              <w:spacing w:before="60" w:after="60"/>
            </w:pPr>
            <w:r>
              <w:rPr>
                <w:b w:val="0"/>
                <w:sz w:val="19"/>
              </w:rPr>
              <w:t>0.555</w:t>
            </w:r>
          </w:p>
        </w:tc>
        <w:tc>
          <w:tcPr>
            <w:tcW w:type="dxa" w:w="1680"/>
            <w:vAlign w:val="center"/>
            <w:shd w:fill="FFFFFF"/>
          </w:tcPr>
          <w:p>
            <w:pPr>
              <w:keepNext/>
              <w:spacing w:before="60" w:after="60"/>
            </w:pPr>
            <w:r>
              <w:rPr>
                <w:b w:val="0"/>
                <w:sz w:val="19"/>
              </w:rPr>
              <w:t>0.525</w:t>
            </w:r>
          </w:p>
        </w:tc>
        <w:tc>
          <w:tcPr>
            <w:tcW w:type="dxa" w:w="1680"/>
            <w:vAlign w:val="center"/>
            <w:shd w:fill="FFFFFF"/>
          </w:tcPr>
          <w:p>
            <w:pPr>
              <w:keepNext/>
              <w:spacing w:before="60" w:after="60"/>
            </w:pPr>
            <w:r>
              <w:rPr>
                <w:b w:val="0"/>
                <w:sz w:val="19"/>
              </w:rPr>
              <w:t>0.529</w:t>
            </w:r>
          </w:p>
        </w:tc>
        <w:tc>
          <w:tcPr>
            <w:tcW w:type="dxa" w:w="1680"/>
            <w:vAlign w:val="center"/>
            <w:shd w:fill="FFFFFF"/>
          </w:tcPr>
          <w:p>
            <w:pPr>
              <w:keepNext/>
              <w:spacing w:before="60" w:after="60"/>
            </w:pPr>
            <w:r>
              <w:rPr>
                <w:b w:val="0"/>
                <w:sz w:val="19"/>
              </w:rPr>
              <w:t>0.534</w:t>
            </w:r>
          </w:p>
        </w:tc>
      </w:tr>
      <w:tr>
        <w:trPr>
          <w:cantSplit/>
        </w:trPr>
        <w:tc>
          <w:tcPr>
            <w:tcW w:type="dxa" w:w="1680"/>
            <w:vAlign w:val="center"/>
            <w:shd w:fill="F5F7F9"/>
          </w:tcPr>
          <w:p>
            <w:pPr>
              <w:keepNext/>
              <w:spacing w:before="60" w:after="60"/>
            </w:pPr>
            <w:r>
              <w:rPr>
                <w:b w:val="0"/>
                <w:sz w:val="19"/>
              </w:rPr>
              <w:t>Subtype eQTL</w:t>
            </w:r>
          </w:p>
        </w:tc>
        <w:tc>
          <w:tcPr>
            <w:tcW w:type="dxa" w:w="1680"/>
            <w:vAlign w:val="center"/>
            <w:shd w:fill="F5F7F9"/>
          </w:tcPr>
          <w:p>
            <w:pPr>
              <w:keepNext/>
              <w:spacing w:before="60" w:after="60"/>
            </w:pPr>
            <w:r>
              <w:rPr>
                <w:b w:val="0"/>
                <w:sz w:val="19"/>
              </w:rPr>
              <w:t>0.878</w:t>
            </w:r>
          </w:p>
        </w:tc>
        <w:tc>
          <w:tcPr>
            <w:tcW w:type="dxa" w:w="1680"/>
            <w:vAlign w:val="center"/>
            <w:shd w:fill="F5F7F9"/>
          </w:tcPr>
          <w:p>
            <w:pPr>
              <w:keepNext/>
              <w:spacing w:before="60" w:after="60"/>
            </w:pPr>
            <w:r>
              <w:rPr>
                <w:b w:val="0"/>
                <w:sz w:val="19"/>
              </w:rPr>
              <w:t>0.940</w:t>
            </w:r>
          </w:p>
        </w:tc>
        <w:tc>
          <w:tcPr>
            <w:tcW w:type="dxa" w:w="1680"/>
            <w:vAlign w:val="center"/>
            <w:shd w:fill="F5F7F9"/>
          </w:tcPr>
          <w:p>
            <w:pPr>
              <w:keepNext/>
              <w:spacing w:before="60" w:after="60"/>
            </w:pPr>
            <w:r>
              <w:rPr>
                <w:b w:val="0"/>
                <w:sz w:val="19"/>
              </w:rPr>
              <w:t>0.961</w:t>
            </w:r>
          </w:p>
        </w:tc>
        <w:tc>
          <w:tcPr>
            <w:tcW w:type="dxa" w:w="1680"/>
            <w:vAlign w:val="center"/>
            <w:shd w:fill="F5F7F9"/>
          </w:tcPr>
          <w:p>
            <w:pPr>
              <w:keepNext/>
              <w:spacing w:before="60" w:after="60"/>
            </w:pPr>
            <w:r>
              <w:rPr>
                <w:b w:val="0"/>
                <w:sz w:val="19"/>
              </w:rPr>
              <w:t>0.957</w:t>
            </w:r>
          </w:p>
        </w:tc>
        <w:tc>
          <w:tcPr>
            <w:tcW w:type="dxa" w:w="1680"/>
            <w:vAlign w:val="center"/>
            <w:shd w:fill="F5F7F9"/>
          </w:tcPr>
          <w:p>
            <w:pPr>
              <w:keepNext/>
              <w:spacing w:before="60" w:after="60"/>
            </w:pPr>
            <w:r>
              <w:rPr>
                <w:b w:val="0"/>
                <w:sz w:val="19"/>
              </w:rPr>
              <w:t>0.524</w:t>
            </w:r>
          </w:p>
        </w:tc>
      </w:tr>
      <w:tr>
        <w:trPr>
          <w:cantSplit/>
        </w:trPr>
        <w:tc>
          <w:tcPr>
            <w:tcW w:type="dxa" w:w="1680"/>
            <w:vAlign w:val="center"/>
            <w:shd w:fill="FFFFFF"/>
          </w:tcPr>
          <w:p>
            <w:pPr>
              <w:keepNext w:val="0"/>
              <w:spacing w:before="60" w:after="60"/>
            </w:pPr>
            <w:r>
              <w:rPr>
                <w:b w:val="0"/>
                <w:sz w:val="19"/>
              </w:rPr>
              <w:t>Abundance only</w:t>
            </w:r>
          </w:p>
        </w:tc>
        <w:tc>
          <w:tcPr>
            <w:tcW w:type="dxa" w:w="1680"/>
            <w:vAlign w:val="center"/>
            <w:shd w:fill="FFFFFF"/>
          </w:tcPr>
          <w:p>
            <w:pPr>
              <w:keepNext w:val="0"/>
              <w:spacing w:before="60" w:after="60"/>
            </w:pPr>
            <w:r>
              <w:rPr>
                <w:b w:val="0"/>
                <w:sz w:val="19"/>
              </w:rPr>
              <w:t>0.839</w:t>
            </w:r>
          </w:p>
        </w:tc>
        <w:tc>
          <w:tcPr>
            <w:tcW w:type="dxa" w:w="1680"/>
            <w:vAlign w:val="center"/>
            <w:shd w:fill="FFFFFF"/>
          </w:tcPr>
          <w:p>
            <w:pPr>
              <w:keepNext w:val="0"/>
              <w:spacing w:before="60" w:after="60"/>
            </w:pPr>
            <w:r>
              <w:rPr>
                <w:b w:val="0"/>
                <w:sz w:val="19"/>
              </w:rPr>
              <w:t>0.897</w:t>
            </w:r>
          </w:p>
        </w:tc>
        <w:tc>
          <w:tcPr>
            <w:tcW w:type="dxa" w:w="1680"/>
            <w:vAlign w:val="center"/>
            <w:shd w:fill="FFFFFF"/>
          </w:tcPr>
          <w:p>
            <w:pPr>
              <w:keepNext w:val="0"/>
              <w:spacing w:before="60" w:after="60"/>
            </w:pPr>
            <w:r>
              <w:rPr>
                <w:b w:val="0"/>
                <w:sz w:val="19"/>
              </w:rPr>
              <w:t>0.905</w:t>
            </w:r>
          </w:p>
        </w:tc>
        <w:tc>
          <w:tcPr>
            <w:tcW w:type="dxa" w:w="1680"/>
            <w:vAlign w:val="center"/>
            <w:shd w:fill="FFFFFF"/>
          </w:tcPr>
          <w:p>
            <w:pPr>
              <w:keepNext w:val="0"/>
              <w:spacing w:before="60" w:after="60"/>
            </w:pPr>
            <w:r>
              <w:rPr>
                <w:b w:val="0"/>
                <w:sz w:val="19"/>
              </w:rPr>
              <w:t>0.920</w:t>
            </w:r>
          </w:p>
        </w:tc>
        <w:tc>
          <w:tcPr>
            <w:tcW w:type="dxa" w:w="1680"/>
            <w:vAlign w:val="center"/>
            <w:shd w:fill="FFFFFF"/>
          </w:tcPr>
          <w:p>
            <w:pPr>
              <w:keepNext w:val="0"/>
              <w:spacing w:before="60" w:after="60"/>
            </w:pPr>
            <w:r>
              <w:rPr>
                <w:b w:val="0"/>
                <w:sz w:val="19"/>
              </w:rPr>
              <w:t>0.525</w:t>
            </w:r>
          </w:p>
        </w:tc>
      </w:tr>
    </w:tbl>
    <w:p>
      <w:pPr>
        <w:pStyle w:val="BodyText"/>
      </w:pPr>
      <w:r>
        <w:t xml:space="preserve">Across the 80 integration replicates, 0 selected-fit diagnostic flags were retained. No flagged fit was silently excluded to improve the comparison. DIABLO has access to subtype labels during representation learning, whereas MOFA does not. Differences therefore compare complete unsupervised-plus-classifier and supervised workflows, not equal learning objectives.</w:t>
      </w:r>
    </w:p>
    <w:p>
      <w:pPr>
        <w:pStyle w:val="BodyText"/>
        <w:keepNext/>
        <w:spacing w:before="200"/>
        <w:jc w:val="center"/>
      </w:pPr>
      <w:r>
        <w:drawing>
          <wp:inline>
            <wp:extent cx="5852160" cy="5407634"/>
            <wp:effectExtent b="0" l="0" r="0" t="0"/>
            <wp:docPr descr="" title="" id="24" name="Picture"/>
            <a:graphic>
              <a:graphicData uri="http://schemas.openxmlformats.org/drawingml/2006/picture">
                <pic:pic>
                  <pic:nvPicPr>
                    <pic:cNvPr descr="../figures/integration_performance.png" id="25" name="Picture"/>
                    <pic:cNvPicPr>
                      <a:picLocks noChangeArrowheads="1" noChangeAspect="1"/>
                    </pic:cNvPicPr>
                  </pic:nvPicPr>
                  <pic:blipFill>
                    <a:blip r:embed="rId23"/>
                    <a:stretch>
                      <a:fillRect/>
                    </a:stretch>
                  </pic:blipFill>
                  <pic:spPr bwMode="auto">
                    <a:xfrm>
                      <a:off x="0" y="0"/>
                      <a:ext cx="5852160" cy="5407634"/>
                    </a:xfrm>
                    <a:prstGeom prst="rect">
                      <a:avLst/>
                    </a:prstGeom>
                    <a:noFill/>
                    <a:ln w="9525">
                      <a:noFill/>
                      <a:headEnd/>
                      <a:tailEnd/>
                    </a:ln>
                  </pic:spPr>
                </pic:pic>
              </a:graphicData>
            </a:graphic>
          </wp:inline>
        </w:drawing>
      </w:r>
    </w:p>
    <w:p>
      <w:pPr>
        <w:pStyle w:val="BodyText"/>
        <w:spacing w:after="180"/>
      </w:pPr>
      <w:r>
        <w:t xml:space="preserve">Figure 2. Mean balanced accuracy with approximate 95% Monte Carlo intervals across ten independent replicates. The dotted line is 0.5. Error bars describe simulation variability, not patient-level uncertainty in a clinical deployment.</w:t>
      </w:r>
    </w:p>
    <w:p>
      <w:pPr>
        <w:pStyle w:val="BodyText"/>
      </w:pPr>
      <w:r>
        <w:t xml:space="preserve">Probability-based evaluation supplies an additional view for the workflows that produce probabilities. Table 4 intentionally omits DIABLO because its released output is a voted class. AUC should be interpreted together with balanced accuracy, Brier scores in the numerical tables and the simple references.</w:t>
      </w:r>
    </w:p>
    <w:p>
      <w:pPr>
        <w:pStyle w:val="BodyText"/>
        <w:keepNext/>
      </w:pPr>
      <w:r>
        <w:t xml:space="preserve">Table 4. Mean independent-test ROC AUC at training N = 480.</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rPr>
          <w:cantSplit/>
          <w:tblHeader/>
        </w:trPr>
        <w:tc>
          <w:tcPr>
            <w:tcW w:type="dxa" w:w="1440"/>
            <w:vAlign w:val="center"/>
            <w:shd w:fill="E8EFF4"/>
          </w:tcPr>
          <w:p>
            <w:pPr>
              <w:keepNext/>
              <w:spacing w:before="60" w:after="60"/>
            </w:pPr>
            <w:r>
              <w:rPr>
                <w:b/>
                <w:sz w:val="19"/>
              </w:rPr>
              <w:t>Scenario</w:t>
            </w:r>
          </w:p>
        </w:tc>
        <w:tc>
          <w:tcPr>
            <w:tcW w:type="dxa" w:w="1440"/>
            <w:vAlign w:val="center"/>
            <w:shd w:fill="E8EFF4"/>
          </w:tcPr>
          <w:p>
            <w:pPr>
              <w:keepNext/>
              <w:spacing w:before="60" w:after="60"/>
            </w:pPr>
            <w:r>
              <w:rPr>
                <w:b/>
                <w:sz w:val="19"/>
              </w:rPr>
              <w:t>MOFA</w:t>
            </w:r>
          </w:p>
        </w:tc>
        <w:tc>
          <w:tcPr>
            <w:tcW w:type="dxa" w:w="1440"/>
            <w:vAlign w:val="center"/>
            <w:shd w:fill="E8EFF4"/>
          </w:tcPr>
          <w:p>
            <w:pPr>
              <w:keepNext/>
              <w:spacing w:before="60" w:after="60"/>
            </w:pPr>
            <w:r>
              <w:rPr>
                <w:b/>
                <w:sz w:val="19"/>
              </w:rPr>
              <w:t>PCA</w:t>
            </w:r>
          </w:p>
        </w:tc>
        <w:tc>
          <w:tcPr>
            <w:tcW w:type="dxa" w:w="1440"/>
            <w:vAlign w:val="center"/>
            <w:shd w:fill="E8EFF4"/>
          </w:tcPr>
          <w:p>
            <w:pPr>
              <w:keepNext/>
              <w:spacing w:before="60" w:after="60"/>
            </w:pPr>
            <w:r>
              <w:rPr>
                <w:b/>
                <w:sz w:val="19"/>
              </w:rPr>
              <w:t>Combined ridge</w:t>
            </w:r>
          </w:p>
        </w:tc>
        <w:tc>
          <w:tcPr>
            <w:tcW w:type="dxa" w:w="1440"/>
            <w:vAlign w:val="center"/>
            <w:shd w:fill="E8EFF4"/>
          </w:tcPr>
          <w:p>
            <w:pPr>
              <w:keepNext/>
              <w:spacing w:before="60" w:after="60"/>
            </w:pPr>
            <w:r>
              <w:rPr>
                <w:b/>
                <w:sz w:val="19"/>
              </w:rPr>
              <w:t>Genotype ridge</w:t>
            </w:r>
          </w:p>
        </w:tc>
        <w:tc>
          <w:tcPr>
            <w:tcW w:type="dxa" w:w="1440"/>
            <w:vAlign w:val="center"/>
            <w:shd w:fill="E8EFF4"/>
          </w:tcPr>
          <w:p>
            <w:pPr>
              <w:keepNext/>
              <w:spacing w:before="60" w:after="60"/>
            </w:pPr>
            <w:r>
              <w:rPr>
                <w:b/>
                <w:sz w:val="19"/>
              </w:rPr>
              <w:t>RNA ridge</w:t>
            </w:r>
          </w:p>
        </w:tc>
        <w:tc>
          <w:tcPr>
            <w:tcW w:type="dxa" w:w="1440"/>
            <w:vAlign w:val="center"/>
            <w:shd w:fill="E8EFF4"/>
          </w:tcPr>
          <w:p>
            <w:pPr>
              <w:keepNext/>
              <w:spacing w:before="60" w:after="60"/>
            </w:pPr>
            <w:r>
              <w:rPr>
                <w:b/>
                <w:sz w:val="19"/>
              </w:rPr>
              <w:t>Clinical only</w:t>
            </w:r>
          </w:p>
        </w:tc>
      </w:tr>
      <w:tr>
        <w:trPr>
          <w:cantSplit/>
        </w:trPr>
        <w:tc>
          <w:tcPr>
            <w:tcW w:type="dxa" w:w="1440"/>
            <w:vAlign w:val="center"/>
            <w:shd w:fill="F5F7F9"/>
          </w:tcPr>
          <w:p>
            <w:pPr>
              <w:keepNext/>
              <w:spacing w:before="60" w:after="60"/>
            </w:pPr>
            <w:r>
              <w:rPr>
                <w:b w:val="0"/>
                <w:sz w:val="19"/>
              </w:rPr>
              <w:t>Null</w:t>
            </w:r>
          </w:p>
        </w:tc>
        <w:tc>
          <w:tcPr>
            <w:tcW w:type="dxa" w:w="1440"/>
            <w:vAlign w:val="center"/>
            <w:shd w:fill="F5F7F9"/>
          </w:tcPr>
          <w:p>
            <w:pPr>
              <w:keepNext/>
              <w:spacing w:before="60" w:after="60"/>
            </w:pPr>
            <w:r>
              <w:rPr>
                <w:b w:val="0"/>
                <w:sz w:val="19"/>
              </w:rPr>
              <w:t>0.587</w:t>
            </w:r>
          </w:p>
        </w:tc>
        <w:tc>
          <w:tcPr>
            <w:tcW w:type="dxa" w:w="1440"/>
            <w:vAlign w:val="center"/>
            <w:shd w:fill="F5F7F9"/>
          </w:tcPr>
          <w:p>
            <w:pPr>
              <w:keepNext/>
              <w:spacing w:before="60" w:after="60"/>
            </w:pPr>
            <w:r>
              <w:rPr>
                <w:b w:val="0"/>
                <w:sz w:val="19"/>
              </w:rPr>
              <w:t>0.586</w:t>
            </w:r>
          </w:p>
        </w:tc>
        <w:tc>
          <w:tcPr>
            <w:tcW w:type="dxa" w:w="1440"/>
            <w:vAlign w:val="center"/>
            <w:shd w:fill="F5F7F9"/>
          </w:tcPr>
          <w:p>
            <w:pPr>
              <w:keepNext/>
              <w:spacing w:before="60" w:after="60"/>
            </w:pPr>
            <w:r>
              <w:rPr>
                <w:b w:val="0"/>
                <w:sz w:val="19"/>
              </w:rPr>
              <w:t>0.562</w:t>
            </w:r>
          </w:p>
        </w:tc>
        <w:tc>
          <w:tcPr>
            <w:tcW w:type="dxa" w:w="1440"/>
            <w:vAlign w:val="center"/>
            <w:shd w:fill="F5F7F9"/>
          </w:tcPr>
          <w:p>
            <w:pPr>
              <w:keepNext/>
              <w:spacing w:before="60" w:after="60"/>
            </w:pPr>
            <w:r>
              <w:rPr>
                <w:b w:val="0"/>
                <w:sz w:val="19"/>
              </w:rPr>
              <w:t>0.564</w:t>
            </w:r>
          </w:p>
        </w:tc>
        <w:tc>
          <w:tcPr>
            <w:tcW w:type="dxa" w:w="1440"/>
            <w:vAlign w:val="center"/>
            <w:shd w:fill="F5F7F9"/>
          </w:tcPr>
          <w:p>
            <w:pPr>
              <w:keepNext/>
              <w:spacing w:before="60" w:after="60"/>
            </w:pPr>
            <w:r>
              <w:rPr>
                <w:b w:val="0"/>
                <w:sz w:val="19"/>
              </w:rPr>
              <w:t>0.589</w:t>
            </w:r>
          </w:p>
        </w:tc>
        <w:tc>
          <w:tcPr>
            <w:tcW w:type="dxa" w:w="1440"/>
            <w:vAlign w:val="center"/>
            <w:shd w:fill="F5F7F9"/>
          </w:tcPr>
          <w:p>
            <w:pPr>
              <w:keepNext/>
              <w:spacing w:before="60" w:after="60"/>
            </w:pPr>
            <w:r>
              <w:rPr>
                <w:b w:val="0"/>
                <w:sz w:val="19"/>
              </w:rPr>
              <w:t>0.600</w:t>
            </w:r>
          </w:p>
        </w:tc>
      </w:tr>
      <w:tr>
        <w:trPr>
          <w:cantSplit/>
        </w:trPr>
        <w:tc>
          <w:tcPr>
            <w:tcW w:type="dxa" w:w="1440"/>
            <w:vAlign w:val="center"/>
            <w:shd w:fill="FFFFFF"/>
          </w:tcPr>
          <w:p>
            <w:pPr>
              <w:keepNext/>
              <w:spacing w:before="60" w:after="60"/>
            </w:pPr>
            <w:r>
              <w:rPr>
                <w:b w:val="0"/>
                <w:sz w:val="19"/>
              </w:rPr>
              <w:t>Shared eQTL</w:t>
            </w:r>
          </w:p>
        </w:tc>
        <w:tc>
          <w:tcPr>
            <w:tcW w:type="dxa" w:w="1440"/>
            <w:vAlign w:val="center"/>
            <w:shd w:fill="FFFFFF"/>
          </w:tcPr>
          <w:p>
            <w:pPr>
              <w:keepNext/>
              <w:spacing w:before="60" w:after="60"/>
            </w:pPr>
            <w:r>
              <w:rPr>
                <w:b w:val="0"/>
                <w:sz w:val="19"/>
              </w:rPr>
              <w:t>0.588</w:t>
            </w:r>
          </w:p>
        </w:tc>
        <w:tc>
          <w:tcPr>
            <w:tcW w:type="dxa" w:w="1440"/>
            <w:vAlign w:val="center"/>
            <w:shd w:fill="FFFFFF"/>
          </w:tcPr>
          <w:p>
            <w:pPr>
              <w:keepNext/>
              <w:spacing w:before="60" w:after="60"/>
            </w:pPr>
            <w:r>
              <w:rPr>
                <w:b w:val="0"/>
                <w:sz w:val="19"/>
              </w:rPr>
              <w:t>0.587</w:t>
            </w:r>
          </w:p>
        </w:tc>
        <w:tc>
          <w:tcPr>
            <w:tcW w:type="dxa" w:w="1440"/>
            <w:vAlign w:val="center"/>
            <w:shd w:fill="FFFFFF"/>
          </w:tcPr>
          <w:p>
            <w:pPr>
              <w:keepNext/>
              <w:spacing w:before="60" w:after="60"/>
            </w:pPr>
            <w:r>
              <w:rPr>
                <w:b w:val="0"/>
                <w:sz w:val="19"/>
              </w:rPr>
              <w:t>0.566</w:t>
            </w:r>
          </w:p>
        </w:tc>
        <w:tc>
          <w:tcPr>
            <w:tcW w:type="dxa" w:w="1440"/>
            <w:vAlign w:val="center"/>
            <w:shd w:fill="FFFFFF"/>
          </w:tcPr>
          <w:p>
            <w:pPr>
              <w:keepNext/>
              <w:spacing w:before="60" w:after="60"/>
            </w:pPr>
            <w:r>
              <w:rPr>
                <w:b w:val="0"/>
                <w:sz w:val="19"/>
              </w:rPr>
              <w:t>0.573</w:t>
            </w:r>
          </w:p>
        </w:tc>
        <w:tc>
          <w:tcPr>
            <w:tcW w:type="dxa" w:w="1440"/>
            <w:vAlign w:val="center"/>
            <w:shd w:fill="FFFFFF"/>
          </w:tcPr>
          <w:p>
            <w:pPr>
              <w:keepNext/>
              <w:spacing w:before="60" w:after="60"/>
            </w:pPr>
            <w:r>
              <w:rPr>
                <w:b w:val="0"/>
                <w:sz w:val="19"/>
              </w:rPr>
              <w:t>0.581</w:t>
            </w:r>
          </w:p>
        </w:tc>
        <w:tc>
          <w:tcPr>
            <w:tcW w:type="dxa" w:w="1440"/>
            <w:vAlign w:val="center"/>
            <w:shd w:fill="FFFFFF"/>
          </w:tcPr>
          <w:p>
            <w:pPr>
              <w:keepNext/>
              <w:spacing w:before="60" w:after="60"/>
            </w:pPr>
            <w:r>
              <w:rPr>
                <w:b w:val="0"/>
                <w:sz w:val="19"/>
              </w:rPr>
              <w:t>0.599</w:t>
            </w:r>
          </w:p>
        </w:tc>
      </w:tr>
      <w:tr>
        <w:trPr>
          <w:cantSplit/>
        </w:trPr>
        <w:tc>
          <w:tcPr>
            <w:tcW w:type="dxa" w:w="1440"/>
            <w:vAlign w:val="center"/>
            <w:shd w:fill="F5F7F9"/>
          </w:tcPr>
          <w:p>
            <w:pPr>
              <w:keepNext/>
              <w:spacing w:before="60" w:after="60"/>
            </w:pPr>
            <w:r>
              <w:rPr>
                <w:b w:val="0"/>
                <w:sz w:val="19"/>
              </w:rPr>
              <w:t>Subtype eQTL</w:t>
            </w:r>
          </w:p>
        </w:tc>
        <w:tc>
          <w:tcPr>
            <w:tcW w:type="dxa" w:w="1440"/>
            <w:vAlign w:val="center"/>
            <w:shd w:fill="F5F7F9"/>
          </w:tcPr>
          <w:p>
            <w:pPr>
              <w:keepNext/>
              <w:spacing w:before="60" w:after="60"/>
            </w:pPr>
            <w:r>
              <w:rPr>
                <w:b w:val="0"/>
                <w:sz w:val="19"/>
              </w:rPr>
              <w:t>0.957</w:t>
            </w:r>
          </w:p>
        </w:tc>
        <w:tc>
          <w:tcPr>
            <w:tcW w:type="dxa" w:w="1440"/>
            <w:vAlign w:val="center"/>
            <w:shd w:fill="F5F7F9"/>
          </w:tcPr>
          <w:p>
            <w:pPr>
              <w:keepNext/>
              <w:spacing w:before="60" w:after="60"/>
            </w:pPr>
            <w:r>
              <w:rPr>
                <w:b w:val="0"/>
                <w:sz w:val="19"/>
              </w:rPr>
              <w:t>0.903</w:t>
            </w:r>
          </w:p>
        </w:tc>
        <w:tc>
          <w:tcPr>
            <w:tcW w:type="dxa" w:w="1440"/>
            <w:vAlign w:val="center"/>
            <w:shd w:fill="F5F7F9"/>
          </w:tcPr>
          <w:p>
            <w:pPr>
              <w:keepNext/>
              <w:spacing w:before="60" w:after="60"/>
            </w:pPr>
            <w:r>
              <w:rPr>
                <w:b w:val="0"/>
                <w:sz w:val="19"/>
              </w:rPr>
              <w:t>0.994</w:t>
            </w:r>
          </w:p>
        </w:tc>
        <w:tc>
          <w:tcPr>
            <w:tcW w:type="dxa" w:w="1440"/>
            <w:vAlign w:val="center"/>
            <w:shd w:fill="F5F7F9"/>
          </w:tcPr>
          <w:p>
            <w:pPr>
              <w:keepNext/>
              <w:spacing w:before="60" w:after="60"/>
            </w:pPr>
            <w:r>
              <w:rPr>
                <w:b w:val="0"/>
                <w:sz w:val="19"/>
              </w:rPr>
              <w:t>0.562</w:t>
            </w:r>
          </w:p>
        </w:tc>
        <w:tc>
          <w:tcPr>
            <w:tcW w:type="dxa" w:w="1440"/>
            <w:vAlign w:val="center"/>
            <w:shd w:fill="F5F7F9"/>
          </w:tcPr>
          <w:p>
            <w:pPr>
              <w:keepNext/>
              <w:spacing w:before="60" w:after="60"/>
            </w:pPr>
            <w:r>
              <w:rPr>
                <w:b w:val="0"/>
                <w:sz w:val="19"/>
              </w:rPr>
              <w:t>0.991</w:t>
            </w:r>
          </w:p>
        </w:tc>
        <w:tc>
          <w:tcPr>
            <w:tcW w:type="dxa" w:w="1440"/>
            <w:vAlign w:val="center"/>
            <w:shd w:fill="F5F7F9"/>
          </w:tcPr>
          <w:p>
            <w:pPr>
              <w:keepNext/>
              <w:spacing w:before="60" w:after="60"/>
            </w:pPr>
            <w:r>
              <w:rPr>
                <w:b w:val="0"/>
                <w:sz w:val="19"/>
              </w:rPr>
              <w:t>0.579</w:t>
            </w:r>
          </w:p>
        </w:tc>
      </w:tr>
      <w:tr>
        <w:trPr>
          <w:cantSplit/>
        </w:trPr>
        <w:tc>
          <w:tcPr>
            <w:tcW w:type="dxa" w:w="1440"/>
            <w:vAlign w:val="center"/>
            <w:shd w:fill="FFFFFF"/>
          </w:tcPr>
          <w:p>
            <w:pPr>
              <w:keepNext w:val="0"/>
              <w:spacing w:before="60" w:after="60"/>
            </w:pPr>
            <w:r>
              <w:rPr>
                <w:b w:val="0"/>
                <w:sz w:val="19"/>
              </w:rPr>
              <w:t>Abundance only</w:t>
            </w:r>
          </w:p>
        </w:tc>
        <w:tc>
          <w:tcPr>
            <w:tcW w:type="dxa" w:w="1440"/>
            <w:vAlign w:val="center"/>
            <w:shd w:fill="FFFFFF"/>
          </w:tcPr>
          <w:p>
            <w:pPr>
              <w:keepNext w:val="0"/>
              <w:spacing w:before="60" w:after="60"/>
            </w:pPr>
            <w:r>
              <w:rPr>
                <w:b w:val="0"/>
                <w:sz w:val="19"/>
              </w:rPr>
              <w:t>0.931</w:t>
            </w:r>
          </w:p>
        </w:tc>
        <w:tc>
          <w:tcPr>
            <w:tcW w:type="dxa" w:w="1440"/>
            <w:vAlign w:val="center"/>
            <w:shd w:fill="FFFFFF"/>
          </w:tcPr>
          <w:p>
            <w:pPr>
              <w:keepNext w:val="0"/>
              <w:spacing w:before="60" w:after="60"/>
            </w:pPr>
            <w:r>
              <w:rPr>
                <w:b w:val="0"/>
                <w:sz w:val="19"/>
              </w:rPr>
              <w:t>0.897</w:t>
            </w:r>
          </w:p>
        </w:tc>
        <w:tc>
          <w:tcPr>
            <w:tcW w:type="dxa" w:w="1440"/>
            <w:vAlign w:val="center"/>
            <w:shd w:fill="FFFFFF"/>
          </w:tcPr>
          <w:p>
            <w:pPr>
              <w:keepNext w:val="0"/>
              <w:spacing w:before="60" w:after="60"/>
            </w:pPr>
            <w:r>
              <w:rPr>
                <w:b w:val="0"/>
                <w:sz w:val="19"/>
              </w:rPr>
              <w:t>0.970</w:t>
            </w:r>
          </w:p>
        </w:tc>
        <w:tc>
          <w:tcPr>
            <w:tcW w:type="dxa" w:w="1440"/>
            <w:vAlign w:val="center"/>
            <w:shd w:fill="FFFFFF"/>
          </w:tcPr>
          <w:p>
            <w:pPr>
              <w:keepNext w:val="0"/>
              <w:spacing w:before="60" w:after="60"/>
            </w:pPr>
            <w:r>
              <w:rPr>
                <w:b w:val="0"/>
                <w:sz w:val="19"/>
              </w:rPr>
              <w:t>0.577</w:t>
            </w:r>
          </w:p>
        </w:tc>
        <w:tc>
          <w:tcPr>
            <w:tcW w:type="dxa" w:w="1440"/>
            <w:vAlign w:val="center"/>
            <w:shd w:fill="FFFFFF"/>
          </w:tcPr>
          <w:p>
            <w:pPr>
              <w:keepNext w:val="0"/>
              <w:spacing w:before="60" w:after="60"/>
            </w:pPr>
            <w:r>
              <w:rPr>
                <w:b w:val="0"/>
                <w:sz w:val="19"/>
              </w:rPr>
              <w:t>0.978</w:t>
            </w:r>
          </w:p>
        </w:tc>
        <w:tc>
          <w:tcPr>
            <w:tcW w:type="dxa" w:w="1440"/>
            <w:vAlign w:val="center"/>
            <w:shd w:fill="FFFFFF"/>
          </w:tcPr>
          <w:p>
            <w:pPr>
              <w:keepNext w:val="0"/>
              <w:spacing w:before="60" w:after="60"/>
            </w:pPr>
            <w:r>
              <w:rPr>
                <w:b w:val="0"/>
                <w:sz w:val="19"/>
              </w:rPr>
              <w:t>0.602</w:t>
            </w:r>
          </w:p>
        </w:tc>
      </w:tr>
    </w:tbl>
    <w:bookmarkEnd w:id="26"/>
    <w:bookmarkStart w:id="30" w:name="X240244a3dc169ccb8b07da73b29627ef0c4f9d9"/>
    <w:p>
      <w:pPr>
        <w:pStyle w:val="Heading3"/>
        <w:keepNext/>
      </w:pPr>
      <w:r>
        <w:t xml:space="preserve">Genetic association and subtype interactions</w:t>
      </w:r>
    </w:p>
    <w:p>
      <w:pPr>
        <w:pStyle w:val="FirstParagraph"/>
      </w:pPr>
      <w:r>
        <w:t xml:space="preserve">The eQTL analysis addressed regional genotype–expression associations independently of classifier performance. Shared-eQTL cohorts contained six true cis-associated genes and no true subtype interactions. Subtype-eQTL cohorts contained nine true cis-associated genes and six interaction genes. Null and abundance-only cohorts contained no true cis associations. Table 5 therefore separates sensitivity where an alternative exists from false discoveries in every setting.</w:t>
      </w:r>
    </w:p>
    <w:p>
      <w:pPr>
        <w:pStyle w:val="BodyText"/>
        <w:keepNext/>
      </w:pPr>
      <w:r>
        <w:t xml:space="preserve">Table 5. Gene-level detection and realised false discovery proportion at N = 480 across 200 independent cohorts per scenario. FDP is zero when no genes are selected; its mean estimates realised FDR under this generator. An undefined sensitivity is shown as not applicable.</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shd w:fill="E8EFF4"/>
          </w:tcPr>
          <w:p>
            <w:pPr>
              <w:keepNext/>
              <w:spacing w:before="60" w:after="60"/>
            </w:pPr>
            <w:r>
              <w:rPr>
                <w:b/>
                <w:sz w:val="19"/>
              </w:rPr>
              <w:t>Scenario</w:t>
            </w:r>
          </w:p>
        </w:tc>
        <w:tc>
          <w:tcPr>
            <w:tcW w:type="dxa" w:w="2016"/>
            <w:vAlign w:val="center"/>
            <w:shd w:fill="E8EFF4"/>
          </w:tcPr>
          <w:p>
            <w:pPr>
              <w:keepNext/>
              <w:spacing w:before="60" w:after="60"/>
            </w:pPr>
            <w:r>
              <w:rPr>
                <w:b/>
                <w:sz w:val="19"/>
              </w:rPr>
              <w:t>Test family</w:t>
            </w:r>
          </w:p>
        </w:tc>
        <w:tc>
          <w:tcPr>
            <w:tcW w:type="dxa" w:w="2016"/>
            <w:vAlign w:val="center"/>
            <w:shd w:fill="E8EFF4"/>
          </w:tcPr>
          <w:p>
            <w:pPr>
              <w:keepNext/>
              <w:spacing w:before="60" w:after="60"/>
            </w:pPr>
            <w:r>
              <w:rPr>
                <w:b/>
                <w:sz w:val="19"/>
              </w:rPr>
              <w:t>Sensitivity</w:t>
            </w:r>
          </w:p>
        </w:tc>
        <w:tc>
          <w:tcPr>
            <w:tcW w:type="dxa" w:w="2016"/>
            <w:vAlign w:val="center"/>
            <w:shd w:fill="E8EFF4"/>
          </w:tcPr>
          <w:p>
            <w:pPr>
              <w:keepNext/>
              <w:spacing w:before="60" w:after="60"/>
            </w:pPr>
            <w:r>
              <w:rPr>
                <w:b/>
                <w:sz w:val="19"/>
              </w:rPr>
              <w:t>Mean FDP</w:t>
            </w:r>
          </w:p>
        </w:tc>
        <w:tc>
          <w:tcPr>
            <w:tcW w:type="dxa" w:w="2016"/>
            <w:vAlign w:val="center"/>
            <w:shd w:fill="E8EFF4"/>
          </w:tcPr>
          <w:p>
            <w:pPr>
              <w:keepNext/>
              <w:spacing w:before="60" w:after="60"/>
            </w:pPr>
            <w:r>
              <w:rPr>
                <w:b/>
                <w:sz w:val="19"/>
              </w:rPr>
              <w:t>Mean discoveries</w:t>
            </w:r>
          </w:p>
        </w:tc>
      </w:tr>
      <w:tr>
        <w:trPr>
          <w:cantSplit/>
        </w:trPr>
        <w:tc>
          <w:tcPr>
            <w:tcW w:type="dxa" w:w="2016"/>
            <w:vAlign w:val="center"/>
            <w:shd w:fill="F5F7F9"/>
          </w:tcPr>
          <w:p>
            <w:pPr>
              <w:keepNext/>
              <w:spacing w:before="60" w:after="60"/>
            </w:pPr>
            <w:r>
              <w:rPr>
                <w:b w:val="0"/>
                <w:sz w:val="19"/>
              </w:rPr>
              <w:t>Null</w:t>
            </w:r>
          </w:p>
        </w:tc>
        <w:tc>
          <w:tcPr>
            <w:tcW w:type="dxa" w:w="2016"/>
            <w:vAlign w:val="center"/>
            <w:shd w:fill="F5F7F9"/>
          </w:tcPr>
          <w:p>
            <w:pPr>
              <w:keepNext/>
              <w:spacing w:before="60" w:after="60"/>
            </w:pPr>
            <w:r>
              <w:rPr>
                <w:b w:val="0"/>
                <w:sz w:val="19"/>
              </w:rPr>
              <w:t>Any cis association</w:t>
            </w:r>
          </w:p>
        </w:tc>
        <w:tc>
          <w:tcPr>
            <w:tcW w:type="dxa" w:w="2016"/>
            <w:vAlign w:val="center"/>
            <w:shd w:fill="F5F7F9"/>
          </w:tcPr>
          <w:p>
            <w:pPr>
              <w:keepNext/>
              <w:spacing w:before="60" w:after="60"/>
            </w:pPr>
            <w:r>
              <w:rPr>
                <w:b w:val="0"/>
                <w:sz w:val="19"/>
              </w:rPr>
              <w:t>Not applicable</w:t>
            </w:r>
          </w:p>
        </w:tc>
        <w:tc>
          <w:tcPr>
            <w:tcW w:type="dxa" w:w="2016"/>
            <w:vAlign w:val="center"/>
            <w:shd w:fill="F5F7F9"/>
          </w:tcPr>
          <w:p>
            <w:pPr>
              <w:keepNext/>
              <w:spacing w:before="60" w:after="60"/>
            </w:pPr>
            <w:r>
              <w:rPr>
                <w:b w:val="0"/>
                <w:sz w:val="19"/>
              </w:rPr>
              <w:t>0.025</w:t>
            </w:r>
          </w:p>
        </w:tc>
        <w:tc>
          <w:tcPr>
            <w:tcW w:type="dxa" w:w="2016"/>
            <w:vAlign w:val="center"/>
            <w:shd w:fill="F5F7F9"/>
          </w:tcPr>
          <w:p>
            <w:pPr>
              <w:keepNext/>
              <w:spacing w:before="60" w:after="60"/>
            </w:pPr>
            <w:r>
              <w:rPr>
                <w:b w:val="0"/>
                <w:sz w:val="19"/>
              </w:rPr>
              <w:t>0.03</w:t>
            </w:r>
          </w:p>
        </w:tc>
      </w:tr>
      <w:tr>
        <w:trPr>
          <w:cantSplit/>
        </w:trPr>
        <w:tc>
          <w:tcPr>
            <w:tcW w:type="dxa" w:w="2016"/>
            <w:vAlign w:val="center"/>
            <w:shd w:fill="FFFFFF"/>
          </w:tcPr>
          <w:p>
            <w:pPr>
              <w:keepNext/>
              <w:spacing w:before="60" w:after="60"/>
            </w:pPr>
            <w:r>
              <w:rPr>
                <w:b w:val="0"/>
                <w:sz w:val="19"/>
              </w:rPr>
              <w:t>Null</w:t>
            </w:r>
          </w:p>
        </w:tc>
        <w:tc>
          <w:tcPr>
            <w:tcW w:type="dxa" w:w="2016"/>
            <w:vAlign w:val="center"/>
            <w:shd w:fill="FFFFFF"/>
          </w:tcPr>
          <w:p>
            <w:pPr>
              <w:keepNext/>
              <w:spacing w:before="60" w:after="60"/>
            </w:pPr>
            <w:r>
              <w:rPr>
                <w:b w:val="0"/>
                <w:sz w:val="19"/>
              </w:rPr>
              <w:t>Subtype interaction</w:t>
            </w:r>
          </w:p>
        </w:tc>
        <w:tc>
          <w:tcPr>
            <w:tcW w:type="dxa" w:w="2016"/>
            <w:vAlign w:val="center"/>
            <w:shd w:fill="FFFFFF"/>
          </w:tcPr>
          <w:p>
            <w:pPr>
              <w:keepNext/>
              <w:spacing w:before="60" w:after="60"/>
            </w:pPr>
            <w:r>
              <w:rPr>
                <w:b w:val="0"/>
                <w:sz w:val="19"/>
              </w:rPr>
              <w:t>Not applicable</w:t>
            </w:r>
          </w:p>
        </w:tc>
        <w:tc>
          <w:tcPr>
            <w:tcW w:type="dxa" w:w="2016"/>
            <w:vAlign w:val="center"/>
            <w:shd w:fill="FFFFFF"/>
          </w:tcPr>
          <w:p>
            <w:pPr>
              <w:keepNext/>
              <w:spacing w:before="60" w:after="60"/>
            </w:pPr>
            <w:r>
              <w:rPr>
                <w:b w:val="0"/>
                <w:sz w:val="19"/>
              </w:rPr>
              <w:t>0.035</w:t>
            </w:r>
          </w:p>
        </w:tc>
        <w:tc>
          <w:tcPr>
            <w:tcW w:type="dxa" w:w="2016"/>
            <w:vAlign w:val="center"/>
            <w:shd w:fill="FFFFFF"/>
          </w:tcPr>
          <w:p>
            <w:pPr>
              <w:keepNext/>
              <w:spacing w:before="60" w:after="60"/>
            </w:pPr>
            <w:r>
              <w:rPr>
                <w:b w:val="0"/>
                <w:sz w:val="19"/>
              </w:rPr>
              <w:t>0.04</w:t>
            </w:r>
          </w:p>
        </w:tc>
      </w:tr>
      <w:tr>
        <w:trPr>
          <w:cantSplit/>
        </w:trPr>
        <w:tc>
          <w:tcPr>
            <w:tcW w:type="dxa" w:w="2016"/>
            <w:vAlign w:val="center"/>
            <w:shd w:fill="F5F7F9"/>
          </w:tcPr>
          <w:p>
            <w:pPr>
              <w:keepNext/>
              <w:spacing w:before="60" w:after="60"/>
            </w:pPr>
            <w:r>
              <w:rPr>
                <w:b w:val="0"/>
                <w:sz w:val="19"/>
              </w:rPr>
              <w:t>Shared eQTL</w:t>
            </w:r>
          </w:p>
        </w:tc>
        <w:tc>
          <w:tcPr>
            <w:tcW w:type="dxa" w:w="2016"/>
            <w:vAlign w:val="center"/>
            <w:shd w:fill="F5F7F9"/>
          </w:tcPr>
          <w:p>
            <w:pPr>
              <w:keepNext/>
              <w:spacing w:before="60" w:after="60"/>
            </w:pPr>
            <w:r>
              <w:rPr>
                <w:b w:val="0"/>
                <w:sz w:val="19"/>
              </w:rPr>
              <w:t>Any cis association</w:t>
            </w:r>
          </w:p>
        </w:tc>
        <w:tc>
          <w:tcPr>
            <w:tcW w:type="dxa" w:w="2016"/>
            <w:vAlign w:val="center"/>
            <w:shd w:fill="F5F7F9"/>
          </w:tcPr>
          <w:p>
            <w:pPr>
              <w:keepNext/>
              <w:spacing w:before="60" w:after="60"/>
            </w:pPr>
            <w:r>
              <w:rPr>
                <w:b w:val="0"/>
                <w:sz w:val="19"/>
              </w:rPr>
              <w:t>1.000</w:t>
            </w:r>
          </w:p>
        </w:tc>
        <w:tc>
          <w:tcPr>
            <w:tcW w:type="dxa" w:w="2016"/>
            <w:vAlign w:val="center"/>
            <w:shd w:fill="F5F7F9"/>
          </w:tcPr>
          <w:p>
            <w:pPr>
              <w:keepNext/>
              <w:spacing w:before="60" w:after="60"/>
            </w:pPr>
            <w:r>
              <w:rPr>
                <w:b w:val="0"/>
                <w:sz w:val="19"/>
              </w:rPr>
              <w:t>0.024</w:t>
            </w:r>
          </w:p>
        </w:tc>
        <w:tc>
          <w:tcPr>
            <w:tcW w:type="dxa" w:w="2016"/>
            <w:vAlign w:val="center"/>
            <w:shd w:fill="F5F7F9"/>
          </w:tcPr>
          <w:p>
            <w:pPr>
              <w:keepNext/>
              <w:spacing w:before="60" w:after="60"/>
            </w:pPr>
            <w:r>
              <w:rPr>
                <w:b w:val="0"/>
                <w:sz w:val="19"/>
              </w:rPr>
              <w:t>6.17</w:t>
            </w:r>
          </w:p>
        </w:tc>
      </w:tr>
      <w:tr>
        <w:trPr>
          <w:cantSplit/>
        </w:trPr>
        <w:tc>
          <w:tcPr>
            <w:tcW w:type="dxa" w:w="2016"/>
            <w:vAlign w:val="center"/>
            <w:shd w:fill="FFFFFF"/>
          </w:tcPr>
          <w:p>
            <w:pPr>
              <w:keepNext/>
              <w:spacing w:before="60" w:after="60"/>
            </w:pPr>
            <w:r>
              <w:rPr>
                <w:b w:val="0"/>
                <w:sz w:val="19"/>
              </w:rPr>
              <w:t>Shared eQTL</w:t>
            </w:r>
          </w:p>
        </w:tc>
        <w:tc>
          <w:tcPr>
            <w:tcW w:type="dxa" w:w="2016"/>
            <w:vAlign w:val="center"/>
            <w:shd w:fill="FFFFFF"/>
          </w:tcPr>
          <w:p>
            <w:pPr>
              <w:keepNext/>
              <w:spacing w:before="60" w:after="60"/>
            </w:pPr>
            <w:r>
              <w:rPr>
                <w:b w:val="0"/>
                <w:sz w:val="19"/>
              </w:rPr>
              <w:t>Subtype interaction</w:t>
            </w:r>
          </w:p>
        </w:tc>
        <w:tc>
          <w:tcPr>
            <w:tcW w:type="dxa" w:w="2016"/>
            <w:vAlign w:val="center"/>
            <w:shd w:fill="FFFFFF"/>
          </w:tcPr>
          <w:p>
            <w:pPr>
              <w:keepNext/>
              <w:spacing w:before="60" w:after="60"/>
            </w:pPr>
            <w:r>
              <w:rPr>
                <w:b w:val="0"/>
                <w:sz w:val="19"/>
              </w:rPr>
              <w:t>Not applicable</w:t>
            </w:r>
          </w:p>
        </w:tc>
        <w:tc>
          <w:tcPr>
            <w:tcW w:type="dxa" w:w="2016"/>
            <w:vAlign w:val="center"/>
            <w:shd w:fill="FFFFFF"/>
          </w:tcPr>
          <w:p>
            <w:pPr>
              <w:keepNext/>
              <w:spacing w:before="60" w:after="60"/>
            </w:pPr>
            <w:r>
              <w:rPr>
                <w:b w:val="0"/>
                <w:sz w:val="19"/>
              </w:rPr>
              <w:t>0.035</w:t>
            </w:r>
          </w:p>
        </w:tc>
        <w:tc>
          <w:tcPr>
            <w:tcW w:type="dxa" w:w="2016"/>
            <w:vAlign w:val="center"/>
            <w:shd w:fill="FFFFFF"/>
          </w:tcPr>
          <w:p>
            <w:pPr>
              <w:keepNext/>
              <w:spacing w:before="60" w:after="60"/>
            </w:pPr>
            <w:r>
              <w:rPr>
                <w:b w:val="0"/>
                <w:sz w:val="19"/>
              </w:rPr>
              <w:t>0.04</w:t>
            </w:r>
          </w:p>
        </w:tc>
      </w:tr>
      <w:tr>
        <w:trPr>
          <w:cantSplit/>
        </w:trPr>
        <w:tc>
          <w:tcPr>
            <w:tcW w:type="dxa" w:w="2016"/>
            <w:vAlign w:val="center"/>
            <w:shd w:fill="F5F7F9"/>
          </w:tcPr>
          <w:p>
            <w:pPr>
              <w:keepNext/>
              <w:spacing w:before="60" w:after="60"/>
            </w:pPr>
            <w:r>
              <w:rPr>
                <w:b w:val="0"/>
                <w:sz w:val="19"/>
              </w:rPr>
              <w:t>Subtype eQTL</w:t>
            </w:r>
          </w:p>
        </w:tc>
        <w:tc>
          <w:tcPr>
            <w:tcW w:type="dxa" w:w="2016"/>
            <w:vAlign w:val="center"/>
            <w:shd w:fill="F5F7F9"/>
          </w:tcPr>
          <w:p>
            <w:pPr>
              <w:keepNext/>
              <w:spacing w:before="60" w:after="60"/>
            </w:pPr>
            <w:r>
              <w:rPr>
                <w:b w:val="0"/>
                <w:sz w:val="19"/>
              </w:rPr>
              <w:t>Any cis association</w:t>
            </w:r>
          </w:p>
        </w:tc>
        <w:tc>
          <w:tcPr>
            <w:tcW w:type="dxa" w:w="2016"/>
            <w:vAlign w:val="center"/>
            <w:shd w:fill="F5F7F9"/>
          </w:tcPr>
          <w:p>
            <w:pPr>
              <w:keepNext/>
              <w:spacing w:before="60" w:after="60"/>
            </w:pPr>
            <w:r>
              <w:rPr>
                <w:b w:val="0"/>
                <w:sz w:val="19"/>
              </w:rPr>
              <w:t>1.000</w:t>
            </w:r>
          </w:p>
        </w:tc>
        <w:tc>
          <w:tcPr>
            <w:tcW w:type="dxa" w:w="2016"/>
            <w:vAlign w:val="center"/>
            <w:shd w:fill="F5F7F9"/>
          </w:tcPr>
          <w:p>
            <w:pPr>
              <w:keepNext/>
              <w:spacing w:before="60" w:after="60"/>
            </w:pPr>
            <w:r>
              <w:rPr>
                <w:b w:val="0"/>
                <w:sz w:val="19"/>
              </w:rPr>
              <w:t>0.017</w:t>
            </w:r>
          </w:p>
        </w:tc>
        <w:tc>
          <w:tcPr>
            <w:tcW w:type="dxa" w:w="2016"/>
            <w:vAlign w:val="center"/>
            <w:shd w:fill="F5F7F9"/>
          </w:tcPr>
          <w:p>
            <w:pPr>
              <w:keepNext/>
              <w:spacing w:before="60" w:after="60"/>
            </w:pPr>
            <w:r>
              <w:rPr>
                <w:b w:val="0"/>
                <w:sz w:val="19"/>
              </w:rPr>
              <w:t>9.17</w:t>
            </w:r>
          </w:p>
        </w:tc>
      </w:tr>
      <w:tr>
        <w:trPr>
          <w:cantSplit/>
        </w:trPr>
        <w:tc>
          <w:tcPr>
            <w:tcW w:type="dxa" w:w="2016"/>
            <w:vAlign w:val="center"/>
            <w:shd w:fill="FFFFFF"/>
          </w:tcPr>
          <w:p>
            <w:pPr>
              <w:keepNext/>
              <w:spacing w:before="60" w:after="60"/>
            </w:pPr>
            <w:r>
              <w:rPr>
                <w:b w:val="0"/>
                <w:sz w:val="19"/>
              </w:rPr>
              <w:t>Subtype eQTL</w:t>
            </w:r>
          </w:p>
        </w:tc>
        <w:tc>
          <w:tcPr>
            <w:tcW w:type="dxa" w:w="2016"/>
            <w:vAlign w:val="center"/>
            <w:shd w:fill="FFFFFF"/>
          </w:tcPr>
          <w:p>
            <w:pPr>
              <w:keepNext/>
              <w:spacing w:before="60" w:after="60"/>
            </w:pPr>
            <w:r>
              <w:rPr>
                <w:b w:val="0"/>
                <w:sz w:val="19"/>
              </w:rPr>
              <w:t>Subtype interaction</w:t>
            </w:r>
          </w:p>
        </w:tc>
        <w:tc>
          <w:tcPr>
            <w:tcW w:type="dxa" w:w="2016"/>
            <w:vAlign w:val="center"/>
            <w:shd w:fill="FFFFFF"/>
          </w:tcPr>
          <w:p>
            <w:pPr>
              <w:keepNext/>
              <w:spacing w:before="60" w:after="60"/>
            </w:pPr>
            <w:r>
              <w:rPr>
                <w:b w:val="0"/>
                <w:sz w:val="19"/>
              </w:rPr>
              <w:t>1.000</w:t>
            </w:r>
          </w:p>
        </w:tc>
        <w:tc>
          <w:tcPr>
            <w:tcW w:type="dxa" w:w="2016"/>
            <w:vAlign w:val="center"/>
            <w:shd w:fill="FFFFFF"/>
          </w:tcPr>
          <w:p>
            <w:pPr>
              <w:keepNext/>
              <w:spacing w:before="60" w:after="60"/>
            </w:pPr>
            <w:r>
              <w:rPr>
                <w:b w:val="0"/>
                <w:sz w:val="19"/>
              </w:rPr>
              <w:t>0.024</w:t>
            </w:r>
          </w:p>
        </w:tc>
        <w:tc>
          <w:tcPr>
            <w:tcW w:type="dxa" w:w="2016"/>
            <w:vAlign w:val="center"/>
            <w:shd w:fill="FFFFFF"/>
          </w:tcPr>
          <w:p>
            <w:pPr>
              <w:keepNext/>
              <w:spacing w:before="60" w:after="60"/>
            </w:pPr>
            <w:r>
              <w:rPr>
                <w:b w:val="0"/>
                <w:sz w:val="19"/>
              </w:rPr>
              <w:t>6.17</w:t>
            </w:r>
          </w:p>
        </w:tc>
      </w:tr>
      <w:tr>
        <w:trPr>
          <w:cantSplit/>
        </w:trPr>
        <w:tc>
          <w:tcPr>
            <w:tcW w:type="dxa" w:w="2016"/>
            <w:vAlign w:val="center"/>
            <w:shd w:fill="F5F7F9"/>
          </w:tcPr>
          <w:p>
            <w:pPr>
              <w:keepNext/>
              <w:spacing w:before="60" w:after="60"/>
            </w:pPr>
            <w:r>
              <w:rPr>
                <w:b w:val="0"/>
                <w:sz w:val="19"/>
              </w:rPr>
              <w:t>Abundance only</w:t>
            </w:r>
          </w:p>
        </w:tc>
        <w:tc>
          <w:tcPr>
            <w:tcW w:type="dxa" w:w="2016"/>
            <w:vAlign w:val="center"/>
            <w:shd w:fill="F5F7F9"/>
          </w:tcPr>
          <w:p>
            <w:pPr>
              <w:keepNext/>
              <w:spacing w:before="60" w:after="60"/>
            </w:pPr>
            <w:r>
              <w:rPr>
                <w:b w:val="0"/>
                <w:sz w:val="19"/>
              </w:rPr>
              <w:t>Any cis association</w:t>
            </w:r>
          </w:p>
        </w:tc>
        <w:tc>
          <w:tcPr>
            <w:tcW w:type="dxa" w:w="2016"/>
            <w:vAlign w:val="center"/>
            <w:shd w:fill="F5F7F9"/>
          </w:tcPr>
          <w:p>
            <w:pPr>
              <w:keepNext/>
              <w:spacing w:before="60" w:after="60"/>
            </w:pPr>
            <w:r>
              <w:rPr>
                <w:b w:val="0"/>
                <w:sz w:val="19"/>
              </w:rPr>
              <w:t>Not applicable</w:t>
            </w:r>
          </w:p>
        </w:tc>
        <w:tc>
          <w:tcPr>
            <w:tcW w:type="dxa" w:w="2016"/>
            <w:vAlign w:val="center"/>
            <w:shd w:fill="F5F7F9"/>
          </w:tcPr>
          <w:p>
            <w:pPr>
              <w:keepNext/>
              <w:spacing w:before="60" w:after="60"/>
            </w:pPr>
            <w:r>
              <w:rPr>
                <w:b w:val="0"/>
                <w:sz w:val="19"/>
              </w:rPr>
              <w:t>0.110</w:t>
            </w:r>
          </w:p>
        </w:tc>
        <w:tc>
          <w:tcPr>
            <w:tcW w:type="dxa" w:w="2016"/>
            <w:vAlign w:val="center"/>
            <w:shd w:fill="F5F7F9"/>
          </w:tcPr>
          <w:p>
            <w:pPr>
              <w:keepNext/>
              <w:spacing w:before="60" w:after="60"/>
            </w:pPr>
            <w:r>
              <w:rPr>
                <w:b w:val="0"/>
                <w:sz w:val="19"/>
              </w:rPr>
              <w:t>0.13</w:t>
            </w:r>
          </w:p>
        </w:tc>
      </w:tr>
      <w:tr>
        <w:trPr>
          <w:cantSplit/>
        </w:trPr>
        <w:tc>
          <w:tcPr>
            <w:tcW w:type="dxa" w:w="2016"/>
            <w:vAlign w:val="center"/>
            <w:shd w:fill="FFFFFF"/>
          </w:tcPr>
          <w:p>
            <w:pPr>
              <w:keepNext w:val="0"/>
              <w:spacing w:before="60" w:after="60"/>
            </w:pPr>
            <w:r>
              <w:rPr>
                <w:b w:val="0"/>
                <w:sz w:val="19"/>
              </w:rPr>
              <w:t>Abundance only</w:t>
            </w:r>
          </w:p>
        </w:tc>
        <w:tc>
          <w:tcPr>
            <w:tcW w:type="dxa" w:w="2016"/>
            <w:vAlign w:val="center"/>
            <w:shd w:fill="FFFFFF"/>
          </w:tcPr>
          <w:p>
            <w:pPr>
              <w:keepNext w:val="0"/>
              <w:spacing w:before="60" w:after="60"/>
            </w:pPr>
            <w:r>
              <w:rPr>
                <w:b w:val="0"/>
                <w:sz w:val="19"/>
              </w:rPr>
              <w:t>Subtype interaction</w:t>
            </w:r>
          </w:p>
        </w:tc>
        <w:tc>
          <w:tcPr>
            <w:tcW w:type="dxa" w:w="2016"/>
            <w:vAlign w:val="center"/>
            <w:shd w:fill="FFFFFF"/>
          </w:tcPr>
          <w:p>
            <w:pPr>
              <w:keepNext w:val="0"/>
              <w:spacing w:before="60" w:after="60"/>
            </w:pPr>
            <w:r>
              <w:rPr>
                <w:b w:val="0"/>
                <w:sz w:val="19"/>
              </w:rPr>
              <w:t>Not applicable</w:t>
            </w:r>
          </w:p>
        </w:tc>
        <w:tc>
          <w:tcPr>
            <w:tcW w:type="dxa" w:w="2016"/>
            <w:vAlign w:val="center"/>
            <w:shd w:fill="FFFFFF"/>
          </w:tcPr>
          <w:p>
            <w:pPr>
              <w:keepNext w:val="0"/>
              <w:spacing w:before="60" w:after="60"/>
            </w:pPr>
            <w:r>
              <w:rPr>
                <w:b w:val="0"/>
                <w:sz w:val="19"/>
              </w:rPr>
              <w:t>0.055</w:t>
            </w:r>
          </w:p>
        </w:tc>
        <w:tc>
          <w:tcPr>
            <w:tcW w:type="dxa" w:w="2016"/>
            <w:vAlign w:val="center"/>
            <w:shd w:fill="FFFFFF"/>
          </w:tcPr>
          <w:p>
            <w:pPr>
              <w:keepNext w:val="0"/>
              <w:spacing w:before="60" w:after="60"/>
            </w:pPr>
            <w:r>
              <w:rPr>
                <w:b w:val="0"/>
                <w:sz w:val="19"/>
              </w:rPr>
              <w:t>0.07</w:t>
            </w:r>
          </w:p>
        </w:tc>
      </w:tr>
    </w:tbl>
    <w:p>
      <w:pPr>
        <w:pStyle w:val="BodyText"/>
      </w:pPr>
      <w:r>
        <w:t xml:space="preserve">For the complete null at N = 240, realised mean FDP was 0.025 for the omnibus family and 0.025 for interactions. Corresponding N = 480 values were 0.025 and 0.035. These are empirical estimates from 200 cohorts each. They do not establish universal FDR control, and this twelve-gene panel does not reproduce the multiplicity burden of a transcriptome-wide eQTL scan.</w:t>
      </w:r>
    </w:p>
    <w:p>
      <w:pPr>
        <w:pStyle w:val="BodyText"/>
        <w:keepNext/>
        <w:spacing w:before="200"/>
        <w:jc w:val="center"/>
      </w:pPr>
      <w:r>
        <w:drawing>
          <wp:inline>
            <wp:extent cx="5852160" cy="5205993"/>
            <wp:effectExtent b="0" l="0" r="0" t="0"/>
            <wp:docPr descr="" title="" id="28" name="Picture"/>
            <a:graphic>
              <a:graphicData uri="http://schemas.openxmlformats.org/drawingml/2006/picture">
                <pic:pic>
                  <pic:nvPicPr>
                    <pic:cNvPr descr="../figures/eqtl_performance.png" id="29" name="Picture"/>
                    <pic:cNvPicPr>
                      <a:picLocks noChangeArrowheads="1" noChangeAspect="1"/>
                    </pic:cNvPicPr>
                  </pic:nvPicPr>
                  <pic:blipFill>
                    <a:blip r:embed="rId27"/>
                    <a:stretch>
                      <a:fillRect/>
                    </a:stretch>
                  </pic:blipFill>
                  <pic:spPr bwMode="auto">
                    <a:xfrm>
                      <a:off x="0" y="0"/>
                      <a:ext cx="5852160" cy="5205993"/>
                    </a:xfrm>
                    <a:prstGeom prst="rect">
                      <a:avLst/>
                    </a:prstGeom>
                    <a:noFill/>
                    <a:ln w="9525">
                      <a:noFill/>
                      <a:headEnd/>
                      <a:tailEnd/>
                    </a:ln>
                  </pic:spPr>
                </pic:pic>
              </a:graphicData>
            </a:graphic>
          </wp:inline>
        </w:drawing>
      </w:r>
    </w:p>
    <w:p>
      <w:pPr>
        <w:pStyle w:val="BodyText"/>
        <w:spacing w:after="180"/>
      </w:pPr>
      <w:r>
        <w:t xml:space="preserve">Figure 3. Sensitivity and mean FDP for the two separately adjusted gene families. Missing sensitivity points correspond to settings without true alternatives. Error bars are approximate 95% Monte Carlo intervals; the lower-panel dotted line is 0.05.</w:t>
      </w:r>
    </w:p>
    <w:bookmarkEnd w:id="30"/>
    <w:bookmarkStart w:id="34" w:name="X100b2af55209665cde9fd65f1ff322588b37a50"/>
    <w:p>
      <w:pPr>
        <w:pStyle w:val="Heading3"/>
        <w:keepNext/>
      </w:pPr>
      <w:r>
        <w:t xml:space="preserve">The negative controls qualify eQTL interpretation</w:t>
      </w:r>
    </w:p>
    <w:p>
      <w:pPr>
        <w:pStyle w:val="FirstParagraph"/>
      </w:pPr>
      <w:r>
        <w:t xml:space="preserve">The original abundance-only N = 480 omnibus false-discovery probability was 0.110, compared with 0.080 for HC3 on those same cohorts. Thus HC3 did not remove the elevated point estimate in that bank. In the separately seeded fresh abundance-only bank, corresponding values were 0.055 and 0.045. The fresh results provide additional evidence but do not erase the original control failure or establish universal error control. HC3 also increased omnibus rejection in the null setting: at N = 240 the original and fresh values were 0.100 and 0.085, and the fresh N = 480 value was 0.090. Consequently HC3 is not a validated default replacement; neither set of checks certifies the workflow for confirmatory eQTL inference without further calibration.</w:t>
      </w:r>
    </w:p>
    <w:p>
      <w:pPr>
        <w:pStyle w:val="BodyText"/>
        <w:keepNext/>
      </w:pPr>
      <w:r>
        <w:t xml:space="preserve">Table 6. False-discovery probabilities in the abundance-only negative control. Each entry uses 200 cohorts. Every gene is null for genetic association here, so mean FDP equals the probability of selecting any gene.</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Bank</w:t>
            </w:r>
          </w:p>
        </w:tc>
        <w:tc>
          <w:tcPr>
            <w:tcW w:type="dxa" w:w="1680"/>
            <w:vAlign w:val="center"/>
            <w:shd w:fill="E8EFF4"/>
          </w:tcPr>
          <w:p>
            <w:pPr>
              <w:keepNext/>
              <w:spacing w:before="60" w:after="60"/>
            </w:pPr>
            <w:r>
              <w:rPr>
                <w:b/>
                <w:sz w:val="19"/>
              </w:rPr>
              <w:t>Method</w:t>
            </w:r>
          </w:p>
        </w:tc>
        <w:tc>
          <w:tcPr>
            <w:tcW w:type="dxa" w:w="1680"/>
            <w:vAlign w:val="center"/>
            <w:shd w:fill="E8EFF4"/>
          </w:tcPr>
          <w:p>
            <w:pPr>
              <w:keepNext/>
              <w:spacing w:before="60" w:after="60"/>
            </w:pPr>
            <w:r>
              <w:rPr>
                <w:b/>
                <w:sz w:val="19"/>
              </w:rPr>
              <w:t>Cis N240</w:t>
            </w:r>
          </w:p>
        </w:tc>
        <w:tc>
          <w:tcPr>
            <w:tcW w:type="dxa" w:w="1680"/>
            <w:vAlign w:val="center"/>
            <w:shd w:fill="E8EFF4"/>
          </w:tcPr>
          <w:p>
            <w:pPr>
              <w:keepNext/>
              <w:spacing w:before="60" w:after="60"/>
            </w:pPr>
            <w:r>
              <w:rPr>
                <w:b/>
                <w:sz w:val="19"/>
              </w:rPr>
              <w:t>Cis N480</w:t>
            </w:r>
          </w:p>
        </w:tc>
        <w:tc>
          <w:tcPr>
            <w:tcW w:type="dxa" w:w="1680"/>
            <w:vAlign w:val="center"/>
            <w:shd w:fill="E8EFF4"/>
          </w:tcPr>
          <w:p>
            <w:pPr>
              <w:keepNext/>
              <w:spacing w:before="60" w:after="60"/>
            </w:pPr>
            <w:r>
              <w:rPr>
                <w:b/>
                <w:sz w:val="19"/>
              </w:rPr>
              <w:t>Interaction N240</w:t>
            </w:r>
          </w:p>
        </w:tc>
        <w:tc>
          <w:tcPr>
            <w:tcW w:type="dxa" w:w="1680"/>
            <w:vAlign w:val="center"/>
            <w:shd w:fill="E8EFF4"/>
          </w:tcPr>
          <w:p>
            <w:pPr>
              <w:keepNext/>
              <w:spacing w:before="60" w:after="60"/>
            </w:pPr>
            <w:r>
              <w:rPr>
                <w:b/>
                <w:sz w:val="19"/>
              </w:rPr>
              <w:t>Interaction N480</w:t>
            </w:r>
          </w:p>
        </w:tc>
      </w:tr>
      <w:tr>
        <w:trPr>
          <w:cantSplit/>
        </w:trPr>
        <w:tc>
          <w:tcPr>
            <w:tcW w:type="dxa" w:w="1680"/>
            <w:vAlign w:val="center"/>
            <w:shd w:fill="F5F7F9"/>
          </w:tcPr>
          <w:p>
            <w:pPr>
              <w:keepNext/>
              <w:spacing w:before="60" w:after="60"/>
            </w:pPr>
            <w:r>
              <w:rPr>
                <w:b w:val="0"/>
                <w:sz w:val="19"/>
              </w:rPr>
              <w:t>original</w:t>
            </w:r>
          </w:p>
        </w:tc>
        <w:tc>
          <w:tcPr>
            <w:tcW w:type="dxa" w:w="1680"/>
            <w:vAlign w:val="center"/>
            <w:shd w:fill="F5F7F9"/>
          </w:tcPr>
          <w:p>
            <w:pPr>
              <w:keepNext/>
              <w:spacing w:before="60" w:after="60"/>
            </w:pPr>
            <w:r>
              <w:rPr>
                <w:b w:val="0"/>
                <w:sz w:val="19"/>
              </w:rPr>
              <w:t>Ordinary F</w:t>
            </w:r>
          </w:p>
        </w:tc>
        <w:tc>
          <w:tcPr>
            <w:tcW w:type="dxa" w:w="1680"/>
            <w:vAlign w:val="center"/>
            <w:shd w:fill="F5F7F9"/>
          </w:tcPr>
          <w:p>
            <w:pPr>
              <w:keepNext/>
              <w:spacing w:before="60" w:after="60"/>
            </w:pPr>
            <w:r>
              <w:rPr>
                <w:b w:val="0"/>
                <w:sz w:val="19"/>
              </w:rPr>
              <w:t>0.050</w:t>
            </w:r>
          </w:p>
        </w:tc>
        <w:tc>
          <w:tcPr>
            <w:tcW w:type="dxa" w:w="1680"/>
            <w:vAlign w:val="center"/>
            <w:shd w:fill="F5F7F9"/>
          </w:tcPr>
          <w:p>
            <w:pPr>
              <w:keepNext/>
              <w:spacing w:before="60" w:after="60"/>
            </w:pPr>
            <w:r>
              <w:rPr>
                <w:b w:val="0"/>
                <w:sz w:val="19"/>
              </w:rPr>
              <w:t>0.110</w:t>
            </w:r>
          </w:p>
        </w:tc>
        <w:tc>
          <w:tcPr>
            <w:tcW w:type="dxa" w:w="1680"/>
            <w:vAlign w:val="center"/>
            <w:shd w:fill="F5F7F9"/>
          </w:tcPr>
          <w:p>
            <w:pPr>
              <w:keepNext/>
              <w:spacing w:before="60" w:after="60"/>
            </w:pPr>
            <w:r>
              <w:rPr>
                <w:b w:val="0"/>
                <w:sz w:val="19"/>
              </w:rPr>
              <w:t>0.040</w:t>
            </w:r>
          </w:p>
        </w:tc>
        <w:tc>
          <w:tcPr>
            <w:tcW w:type="dxa" w:w="1680"/>
            <w:vAlign w:val="center"/>
            <w:shd w:fill="F5F7F9"/>
          </w:tcPr>
          <w:p>
            <w:pPr>
              <w:keepNext/>
              <w:spacing w:before="60" w:after="60"/>
            </w:pPr>
            <w:r>
              <w:rPr>
                <w:b w:val="0"/>
                <w:sz w:val="19"/>
              </w:rPr>
              <w:t>0.055</w:t>
            </w:r>
          </w:p>
        </w:tc>
      </w:tr>
      <w:tr>
        <w:trPr>
          <w:cantSplit/>
        </w:trPr>
        <w:tc>
          <w:tcPr>
            <w:tcW w:type="dxa" w:w="1680"/>
            <w:vAlign w:val="center"/>
            <w:shd w:fill="FFFFFF"/>
          </w:tcPr>
          <w:p>
            <w:pPr>
              <w:keepNext/>
              <w:spacing w:before="60" w:after="60"/>
            </w:pPr>
            <w:r>
              <w:rPr>
                <w:b w:val="0"/>
                <w:sz w:val="19"/>
              </w:rPr>
              <w:t>original</w:t>
            </w:r>
          </w:p>
        </w:tc>
        <w:tc>
          <w:tcPr>
            <w:tcW w:type="dxa" w:w="1680"/>
            <w:vAlign w:val="center"/>
            <w:shd w:fill="FFFFFF"/>
          </w:tcPr>
          <w:p>
            <w:pPr>
              <w:keepNext/>
              <w:spacing w:before="60" w:after="60"/>
            </w:pPr>
            <w:r>
              <w:rPr>
                <w:b w:val="0"/>
                <w:sz w:val="19"/>
              </w:rPr>
              <w:t>HC3 Wald F</w:t>
            </w:r>
          </w:p>
        </w:tc>
        <w:tc>
          <w:tcPr>
            <w:tcW w:type="dxa" w:w="1680"/>
            <w:vAlign w:val="center"/>
            <w:shd w:fill="FFFFFF"/>
          </w:tcPr>
          <w:p>
            <w:pPr>
              <w:keepNext/>
              <w:spacing w:before="60" w:after="60"/>
            </w:pPr>
            <w:r>
              <w:rPr>
                <w:b w:val="0"/>
                <w:sz w:val="19"/>
              </w:rPr>
              <w:t>0.080</w:t>
            </w:r>
          </w:p>
        </w:tc>
        <w:tc>
          <w:tcPr>
            <w:tcW w:type="dxa" w:w="1680"/>
            <w:vAlign w:val="center"/>
            <w:shd w:fill="FFFFFF"/>
          </w:tcPr>
          <w:p>
            <w:pPr>
              <w:keepNext/>
              <w:spacing w:before="60" w:after="60"/>
            </w:pPr>
            <w:r>
              <w:rPr>
                <w:b w:val="0"/>
                <w:sz w:val="19"/>
              </w:rPr>
              <w:t>0.080</w:t>
            </w:r>
          </w:p>
        </w:tc>
        <w:tc>
          <w:tcPr>
            <w:tcW w:type="dxa" w:w="1680"/>
            <w:vAlign w:val="center"/>
            <w:shd w:fill="FFFFFF"/>
          </w:tcPr>
          <w:p>
            <w:pPr>
              <w:keepNext/>
              <w:spacing w:before="60" w:after="60"/>
            </w:pPr>
            <w:r>
              <w:rPr>
                <w:b w:val="0"/>
                <w:sz w:val="19"/>
              </w:rPr>
              <w:t>0.045</w:t>
            </w:r>
          </w:p>
        </w:tc>
        <w:tc>
          <w:tcPr>
            <w:tcW w:type="dxa" w:w="1680"/>
            <w:vAlign w:val="center"/>
            <w:shd w:fill="FFFFFF"/>
          </w:tcPr>
          <w:p>
            <w:pPr>
              <w:keepNext/>
              <w:spacing w:before="60" w:after="60"/>
            </w:pPr>
            <w:r>
              <w:rPr>
                <w:b w:val="0"/>
                <w:sz w:val="19"/>
              </w:rPr>
              <w:t>0.040</w:t>
            </w:r>
          </w:p>
        </w:tc>
      </w:tr>
      <w:tr>
        <w:trPr>
          <w:cantSplit/>
        </w:trPr>
        <w:tc>
          <w:tcPr>
            <w:tcW w:type="dxa" w:w="1680"/>
            <w:vAlign w:val="center"/>
            <w:shd w:fill="F5F7F9"/>
          </w:tcPr>
          <w:p>
            <w:pPr>
              <w:keepNext/>
              <w:spacing w:before="60" w:after="60"/>
            </w:pPr>
            <w:r>
              <w:rPr>
                <w:b w:val="0"/>
                <w:sz w:val="19"/>
              </w:rPr>
              <w:t>fresh</w:t>
            </w:r>
          </w:p>
        </w:tc>
        <w:tc>
          <w:tcPr>
            <w:tcW w:type="dxa" w:w="1680"/>
            <w:vAlign w:val="center"/>
            <w:shd w:fill="F5F7F9"/>
          </w:tcPr>
          <w:p>
            <w:pPr>
              <w:keepNext/>
              <w:spacing w:before="60" w:after="60"/>
            </w:pPr>
            <w:r>
              <w:rPr>
                <w:b w:val="0"/>
                <w:sz w:val="19"/>
              </w:rPr>
              <w:t>Ordinary F</w:t>
            </w:r>
          </w:p>
        </w:tc>
        <w:tc>
          <w:tcPr>
            <w:tcW w:type="dxa" w:w="1680"/>
            <w:vAlign w:val="center"/>
            <w:shd w:fill="F5F7F9"/>
          </w:tcPr>
          <w:p>
            <w:pPr>
              <w:keepNext/>
              <w:spacing w:before="60" w:after="60"/>
            </w:pPr>
            <w:r>
              <w:rPr>
                <w:b w:val="0"/>
                <w:sz w:val="19"/>
              </w:rPr>
              <w:t>0.025</w:t>
            </w:r>
          </w:p>
        </w:tc>
        <w:tc>
          <w:tcPr>
            <w:tcW w:type="dxa" w:w="1680"/>
            <w:vAlign w:val="center"/>
            <w:shd w:fill="F5F7F9"/>
          </w:tcPr>
          <w:p>
            <w:pPr>
              <w:keepNext/>
              <w:spacing w:before="60" w:after="60"/>
            </w:pPr>
            <w:r>
              <w:rPr>
                <w:b w:val="0"/>
                <w:sz w:val="19"/>
              </w:rPr>
              <w:t>0.055</w:t>
            </w:r>
          </w:p>
        </w:tc>
        <w:tc>
          <w:tcPr>
            <w:tcW w:type="dxa" w:w="1680"/>
            <w:vAlign w:val="center"/>
            <w:shd w:fill="F5F7F9"/>
          </w:tcPr>
          <w:p>
            <w:pPr>
              <w:keepNext/>
              <w:spacing w:before="60" w:after="60"/>
            </w:pPr>
            <w:r>
              <w:rPr>
                <w:b w:val="0"/>
                <w:sz w:val="19"/>
              </w:rPr>
              <w:t>0.025</w:t>
            </w:r>
          </w:p>
        </w:tc>
        <w:tc>
          <w:tcPr>
            <w:tcW w:type="dxa" w:w="1680"/>
            <w:vAlign w:val="center"/>
            <w:shd w:fill="F5F7F9"/>
          </w:tcPr>
          <w:p>
            <w:pPr>
              <w:keepNext/>
              <w:spacing w:before="60" w:after="60"/>
            </w:pPr>
            <w:r>
              <w:rPr>
                <w:b w:val="0"/>
                <w:sz w:val="19"/>
              </w:rPr>
              <w:t>0.050</w:t>
            </w:r>
          </w:p>
        </w:tc>
      </w:tr>
      <w:tr>
        <w:trPr>
          <w:cantSplit/>
        </w:trPr>
        <w:tc>
          <w:tcPr>
            <w:tcW w:type="dxa" w:w="1680"/>
            <w:vAlign w:val="center"/>
            <w:shd w:fill="FFFFFF"/>
          </w:tcPr>
          <w:p>
            <w:pPr>
              <w:keepNext w:val="0"/>
              <w:spacing w:before="60" w:after="60"/>
            </w:pPr>
            <w:r>
              <w:rPr>
                <w:b w:val="0"/>
                <w:sz w:val="19"/>
              </w:rPr>
              <w:t>fresh</w:t>
            </w:r>
          </w:p>
        </w:tc>
        <w:tc>
          <w:tcPr>
            <w:tcW w:type="dxa" w:w="1680"/>
            <w:vAlign w:val="center"/>
            <w:shd w:fill="FFFFFF"/>
          </w:tcPr>
          <w:p>
            <w:pPr>
              <w:keepNext w:val="0"/>
              <w:spacing w:before="60" w:after="60"/>
            </w:pPr>
            <w:r>
              <w:rPr>
                <w:b w:val="0"/>
                <w:sz w:val="19"/>
              </w:rPr>
              <w:t>HC3 Wald F</w:t>
            </w:r>
          </w:p>
        </w:tc>
        <w:tc>
          <w:tcPr>
            <w:tcW w:type="dxa" w:w="1680"/>
            <w:vAlign w:val="center"/>
            <w:shd w:fill="FFFFFF"/>
          </w:tcPr>
          <w:p>
            <w:pPr>
              <w:keepNext w:val="0"/>
              <w:spacing w:before="60" w:after="60"/>
            </w:pPr>
            <w:r>
              <w:rPr>
                <w:b w:val="0"/>
                <w:sz w:val="19"/>
              </w:rPr>
              <w:t>0.055</w:t>
            </w:r>
          </w:p>
        </w:tc>
        <w:tc>
          <w:tcPr>
            <w:tcW w:type="dxa" w:w="1680"/>
            <w:vAlign w:val="center"/>
            <w:shd w:fill="FFFFFF"/>
          </w:tcPr>
          <w:p>
            <w:pPr>
              <w:keepNext w:val="0"/>
              <w:spacing w:before="60" w:after="60"/>
            </w:pPr>
            <w:r>
              <w:rPr>
                <w:b w:val="0"/>
                <w:sz w:val="19"/>
              </w:rPr>
              <w:t>0.045</w:t>
            </w:r>
          </w:p>
        </w:tc>
        <w:tc>
          <w:tcPr>
            <w:tcW w:type="dxa" w:w="1680"/>
            <w:vAlign w:val="center"/>
            <w:shd w:fill="FFFFFF"/>
          </w:tcPr>
          <w:p>
            <w:pPr>
              <w:keepNext w:val="0"/>
              <w:spacing w:before="60" w:after="60"/>
            </w:pPr>
            <w:r>
              <w:rPr>
                <w:b w:val="0"/>
                <w:sz w:val="19"/>
              </w:rPr>
              <w:t>0.035</w:t>
            </w:r>
          </w:p>
        </w:tc>
        <w:tc>
          <w:tcPr>
            <w:tcW w:type="dxa" w:w="1680"/>
            <w:vAlign w:val="center"/>
            <w:shd w:fill="FFFFFF"/>
          </w:tcPr>
          <w:p>
            <w:pPr>
              <w:keepNext w:val="0"/>
              <w:spacing w:before="60" w:after="60"/>
            </w:pPr>
            <w:r>
              <w:rPr>
                <w:b w:val="0"/>
                <w:sz w:val="19"/>
              </w:rPr>
              <w:t>0.045</w:t>
            </w:r>
          </w:p>
        </w:tc>
      </w:tr>
    </w:tbl>
    <w:p>
      <w:pPr>
        <w:pStyle w:val="BodyText"/>
        <w:keepNext/>
        <w:spacing w:before="200"/>
        <w:jc w:val="center"/>
      </w:pPr>
      <w:r>
        <w:drawing>
          <wp:inline>
            <wp:extent cx="5852160" cy="3300399"/>
            <wp:effectExtent b="0" l="0" r="0" t="0"/>
            <wp:docPr descr="" title="" id="32" name="Picture"/>
            <a:graphic>
              <a:graphicData uri="http://schemas.openxmlformats.org/drawingml/2006/picture">
                <pic:pic>
                  <pic:nvPicPr>
                    <pic:cNvPr descr="../figures/eqtl_robustness.png" id="33" name="Picture"/>
                    <pic:cNvPicPr>
                      <a:picLocks noChangeArrowheads="1" noChangeAspect="1"/>
                    </pic:cNvPicPr>
                  </pic:nvPicPr>
                  <pic:blipFill>
                    <a:blip r:embed="rId31"/>
                    <a:stretch>
                      <a:fillRect/>
                    </a:stretch>
                  </pic:blipFill>
                  <pic:spPr bwMode="auto">
                    <a:xfrm>
                      <a:off x="0" y="0"/>
                      <a:ext cx="5852160" cy="3300399"/>
                    </a:xfrm>
                    <a:prstGeom prst="rect">
                      <a:avLst/>
                    </a:prstGeom>
                    <a:noFill/>
                    <a:ln w="9525">
                      <a:noFill/>
                      <a:headEnd/>
                      <a:tailEnd/>
                    </a:ln>
                  </pic:spPr>
                </pic:pic>
              </a:graphicData>
            </a:graphic>
          </wp:inline>
        </w:drawing>
      </w:r>
    </w:p>
    <w:p>
      <w:pPr>
        <w:pStyle w:val="BodyText"/>
        <w:spacing w:after="180"/>
      </w:pPr>
      <w:r>
        <w:t xml:space="preserve">Figure 4. Original and fresh negative-control omnibus error rates with approximate 95% Monte Carlo intervals. Circles show original cohorts and squares show fresh cohorts; the dotted line is 0.05. Ordinary F and HC3 results are both retained. These estimates qualify the mapping workflow rather than certify transcriptome-wide calibration.</w:t>
      </w:r>
    </w:p>
    <w:bookmarkEnd w:id="34"/>
    <w:bookmarkStart w:id="44" w:name="Xff5a5e4306600e367b1d7e6b18f4659e9fe6aed"/>
    <w:p>
      <w:pPr>
        <w:pStyle w:val="Heading3"/>
        <w:keepNext/>
      </w:pPr>
      <w:r>
        <w:t xml:space="preserve">Molecular representations and an illustrative locus</w:t>
      </w:r>
    </w:p>
    <w:p>
      <w:pPr>
        <w:pStyle w:val="FirstParagraph"/>
      </w:pPr>
      <w:r>
        <w:t xml:space="preserve">The prespecified training cohort provides an inspectable representation of both methods. MOFA factors summarise variation; DIABLO components are constructed using subtype labels. Visual separation in these training plots is therefore descriptive and cannot replace the independent-test results above.</w:t>
      </w:r>
    </w:p>
    <w:p>
      <w:pPr>
        <w:pStyle w:val="BodyText"/>
        <w:keepNext/>
        <w:spacing w:before="200"/>
        <w:jc w:val="center"/>
      </w:pPr>
      <w:r>
        <w:drawing>
          <wp:inline>
            <wp:extent cx="5852160" cy="2685548"/>
            <wp:effectExtent b="0" l="0" r="0" t="0"/>
            <wp:docPr descr="" title="" id="36" name="Picture"/>
            <a:graphic>
              <a:graphicData uri="http://schemas.openxmlformats.org/drawingml/2006/picture">
                <pic:pic>
                  <pic:nvPicPr>
                    <pic:cNvPr descr="../figures/example_factors.png" id="37" name="Picture"/>
                    <pic:cNvPicPr>
                      <a:picLocks noChangeArrowheads="1" noChangeAspect="1"/>
                    </pic:cNvPicPr>
                  </pic:nvPicPr>
                  <pic:blipFill>
                    <a:blip r:embed="rId35"/>
                    <a:stretch>
                      <a:fillRect/>
                    </a:stretch>
                  </pic:blipFill>
                  <pic:spPr bwMode="auto">
                    <a:xfrm>
                      <a:off x="0" y="0"/>
                      <a:ext cx="5852160" cy="2685548"/>
                    </a:xfrm>
                    <a:prstGeom prst="rect">
                      <a:avLst/>
                    </a:prstGeom>
                    <a:noFill/>
                    <a:ln w="9525">
                      <a:noFill/>
                      <a:headEnd/>
                      <a:tailEnd/>
                    </a:ln>
                  </pic:spPr>
                </pic:pic>
              </a:graphicData>
            </a:graphic>
          </wp:inline>
        </w:drawing>
      </w:r>
    </w:p>
    <w:p>
      <w:pPr>
        <w:pStyle w:val="BodyText"/>
        <w:spacing w:after="180"/>
      </w:pPr>
      <w:r>
        <w:t xml:space="preserve">Figure 5. MOFA factor scores and DIABLO genotype/RNA component scores for the same 240 training cases. These axes have different meanings and are not directly comparable effect scales. The figure is a training visualisation, not external validation.</w:t>
      </w:r>
    </w:p>
    <w:p>
      <w:pPr>
        <w:pStyle w:val="BodyText"/>
      </w:pPr>
      <w:r>
        <w:t xml:space="preserve">The first synthetic locus illustrates how genotype dosage, subtype and expression can be examined together. The local association panel contains only four synthetic variants; it is not a genome-wide Manhattan plot. A correlated lead variant can tag the planted genetic signal without identifying the causal allele.</w:t>
      </w:r>
    </w:p>
    <w:p>
      <w:pPr>
        <w:pStyle w:val="BodyText"/>
        <w:keepNext/>
        <w:spacing w:before="200"/>
        <w:jc w:val="center"/>
      </w:pPr>
      <w:r>
        <w:drawing>
          <wp:inline>
            <wp:extent cx="5852160" cy="2804255"/>
            <wp:effectExtent b="0" l="0" r="0" t="0"/>
            <wp:docPr descr="" title="" id="39" name="Picture"/>
            <a:graphic>
              <a:graphicData uri="http://schemas.openxmlformats.org/drawingml/2006/picture">
                <pic:pic>
                  <pic:nvPicPr>
                    <pic:cNvPr descr="../figures/example_eqtl.png" id="40" name="Picture"/>
                    <pic:cNvPicPr>
                      <a:picLocks noChangeArrowheads="1" noChangeAspect="1"/>
                    </pic:cNvPicPr>
                  </pic:nvPicPr>
                  <pic:blipFill>
                    <a:blip r:embed="rId38"/>
                    <a:stretch>
                      <a:fillRect/>
                    </a:stretch>
                  </pic:blipFill>
                  <pic:spPr bwMode="auto">
                    <a:xfrm>
                      <a:off x="0" y="0"/>
                      <a:ext cx="5852160" cy="2804255"/>
                    </a:xfrm>
                    <a:prstGeom prst="rect">
                      <a:avLst/>
                    </a:prstGeom>
                    <a:noFill/>
                    <a:ln w="9525">
                      <a:noFill/>
                      <a:headEnd/>
                      <a:tailEnd/>
                    </a:ln>
                  </pic:spPr>
                </pic:pic>
              </a:graphicData>
            </a:graphic>
          </wp:inline>
        </w:drawing>
      </w:r>
    </w:p>
    <w:p>
      <w:pPr>
        <w:pStyle w:val="BodyText"/>
        <w:spacing w:after="180"/>
      </w:pPr>
      <w:r>
        <w:t xml:space="preserve">Figure 6. SIM GENE 01 expression after adjustment for measured covariates, with genotype-group means by subtype, and nominal local tag-association P values. The abundance shift and subtype-specific slope were deliberately planted; they are not findings about a named breast cancer gene.</w:t>
      </w:r>
    </w:p>
    <w:p>
      <w:pPr>
        <w:pStyle w:val="BodyText"/>
        <w:keepNext/>
      </w:pPr>
      <w:r>
        <w:t xml:space="preserve">Table 7 shows all twelve genes in the prespecified example, including non-significant genes and the separate truth labels. The small example can miss planted signals or select null genes. The repeated simulation bank supplies the performance evidence; this single cohort was not selected for an attractive result.</w:t>
      </w:r>
    </w:p>
    <w:p>
      <w:pPr>
        <w:pStyle w:val="BodyText"/>
        <w:keepNext/>
      </w:pPr>
      <w:r>
        <w:t xml:space="preserve">Table 7. Example gene-level BH-adjusted P values from the preserved ordinary F analysis. Truth labels are available only because these data are simulated; the negative-control limitations above also apply.</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shd w:fill="E8EFF4"/>
          </w:tcPr>
          <w:p>
            <w:pPr>
              <w:spacing w:before="60" w:after="60"/>
            </w:pPr>
            <w:r>
              <w:rPr>
                <w:b/>
                <w:sz w:val="19"/>
              </w:rPr>
              <w:t>Synthetic gene</w:t>
            </w:r>
          </w:p>
        </w:tc>
        <w:tc>
          <w:tcPr>
            <w:tcW w:type="dxa" w:w="2016"/>
            <w:vAlign w:val="center"/>
            <w:shd w:fill="E8EFF4"/>
          </w:tcPr>
          <w:p>
            <w:pPr>
              <w:spacing w:before="60" w:after="60"/>
            </w:pPr>
            <w:r>
              <w:rPr>
                <w:b/>
                <w:sz w:val="19"/>
              </w:rPr>
              <w:t>Cis q</w:t>
            </w:r>
          </w:p>
        </w:tc>
        <w:tc>
          <w:tcPr>
            <w:tcW w:type="dxa" w:w="2016"/>
            <w:vAlign w:val="center"/>
            <w:shd w:fill="E8EFF4"/>
          </w:tcPr>
          <w:p>
            <w:pPr>
              <w:spacing w:before="60" w:after="60"/>
            </w:pPr>
            <w:r>
              <w:rPr>
                <w:b/>
                <w:sz w:val="19"/>
              </w:rPr>
              <w:t>Interaction q</w:t>
            </w:r>
          </w:p>
        </w:tc>
        <w:tc>
          <w:tcPr>
            <w:tcW w:type="dxa" w:w="2016"/>
            <w:vAlign w:val="center"/>
            <w:shd w:fill="E8EFF4"/>
          </w:tcPr>
          <w:p>
            <w:pPr>
              <w:spacing w:before="60" w:after="60"/>
            </w:pPr>
            <w:r>
              <w:rPr>
                <w:b/>
                <w:sz w:val="19"/>
              </w:rPr>
              <w:t>True cis effect</w:t>
            </w:r>
          </w:p>
        </w:tc>
        <w:tc>
          <w:tcPr>
            <w:tcW w:type="dxa" w:w="2016"/>
            <w:vAlign w:val="center"/>
            <w:shd w:fill="E8EFF4"/>
          </w:tcPr>
          <w:p>
            <w:pPr>
              <w:spacing w:before="60" w:after="60"/>
            </w:pPr>
            <w:r>
              <w:rPr>
                <w:b/>
                <w:sz w:val="19"/>
              </w:rPr>
              <w:t>True interaction</w:t>
            </w:r>
          </w:p>
        </w:tc>
      </w:tr>
      <w:tr>
        <w:trPr>
          <w:cantSplit/>
        </w:trPr>
        <w:tc>
          <w:tcPr>
            <w:tcW w:type="dxa" w:w="2016"/>
            <w:vAlign w:val="center"/>
            <w:shd w:fill="F5F7F9"/>
          </w:tcPr>
          <w:p>
            <w:pPr>
              <w:spacing w:before="60" w:after="60"/>
            </w:pPr>
            <w:r>
              <w:rPr>
                <w:b w:val="0"/>
                <w:sz w:val="19"/>
              </w:rPr>
              <w:t>SIM GENE 01</w:t>
            </w:r>
          </w:p>
        </w:tc>
        <w:tc>
          <w:tcPr>
            <w:tcW w:type="dxa" w:w="2016"/>
            <w:vAlign w:val="center"/>
            <w:shd w:fill="F5F7F9"/>
          </w:tcPr>
          <w:p>
            <w:pPr>
              <w:spacing w:before="60" w:after="60"/>
            </w:pPr>
            <w:r>
              <w:rPr>
                <w:b w:val="0"/>
                <w:sz w:val="19"/>
              </w:rPr>
              <w:t>2.31e-19</w:t>
            </w:r>
          </w:p>
        </w:tc>
        <w:tc>
          <w:tcPr>
            <w:tcW w:type="dxa" w:w="2016"/>
            <w:vAlign w:val="center"/>
            <w:shd w:fill="F5F7F9"/>
          </w:tcPr>
          <w:p>
            <w:pPr>
              <w:spacing w:before="60" w:after="60"/>
            </w:pPr>
            <w:r>
              <w:rPr>
                <w:b w:val="0"/>
                <w:sz w:val="19"/>
              </w:rPr>
              <w:t>0.00145</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Yes</w:t>
            </w:r>
          </w:p>
        </w:tc>
      </w:tr>
      <w:tr>
        <w:trPr>
          <w:cantSplit/>
        </w:trPr>
        <w:tc>
          <w:tcPr>
            <w:tcW w:type="dxa" w:w="2016"/>
            <w:vAlign w:val="center"/>
            <w:shd w:fill="FFFFFF"/>
          </w:tcPr>
          <w:p>
            <w:pPr>
              <w:spacing w:before="60" w:after="60"/>
            </w:pPr>
            <w:r>
              <w:rPr>
                <w:b w:val="0"/>
                <w:sz w:val="19"/>
              </w:rPr>
              <w:t>SIM GENE 02</w:t>
            </w:r>
          </w:p>
        </w:tc>
        <w:tc>
          <w:tcPr>
            <w:tcW w:type="dxa" w:w="2016"/>
            <w:vAlign w:val="center"/>
            <w:shd w:fill="FFFFFF"/>
          </w:tcPr>
          <w:p>
            <w:pPr>
              <w:spacing w:before="60" w:after="60"/>
            </w:pPr>
            <w:r>
              <w:rPr>
                <w:b w:val="0"/>
                <w:sz w:val="19"/>
              </w:rPr>
              <w:t>0.521</w:t>
            </w:r>
          </w:p>
        </w:tc>
        <w:tc>
          <w:tcPr>
            <w:tcW w:type="dxa" w:w="2016"/>
            <w:vAlign w:val="center"/>
            <w:shd w:fill="FFFFFF"/>
          </w:tcPr>
          <w:p>
            <w:pPr>
              <w:spacing w:before="60" w:after="60"/>
            </w:pPr>
            <w:r>
              <w:rPr>
                <w:b w:val="0"/>
                <w:sz w:val="19"/>
              </w:rPr>
              <w:t>0.719</w:t>
            </w:r>
          </w:p>
        </w:tc>
        <w:tc>
          <w:tcPr>
            <w:tcW w:type="dxa" w:w="2016"/>
            <w:vAlign w:val="center"/>
            <w:shd w:fill="FFFFFF"/>
          </w:tcPr>
          <w:p>
            <w:pPr>
              <w:spacing w:before="60" w:after="60"/>
            </w:pPr>
            <w:r>
              <w:rPr>
                <w:b w:val="0"/>
                <w:sz w:val="19"/>
              </w:rPr>
              <w:t>No</w:t>
            </w:r>
          </w:p>
        </w:tc>
        <w:tc>
          <w:tcPr>
            <w:tcW w:type="dxa" w:w="2016"/>
            <w:vAlign w:val="center"/>
            <w:shd w:fill="FFFFFF"/>
          </w:tcPr>
          <w:p>
            <w:pPr>
              <w:spacing w:before="60" w:after="60"/>
            </w:pPr>
            <w:r>
              <w:rPr>
                <w:b w:val="0"/>
                <w:sz w:val="19"/>
              </w:rPr>
              <w:t>No</w:t>
            </w:r>
          </w:p>
        </w:tc>
      </w:tr>
      <w:tr>
        <w:trPr>
          <w:cantSplit/>
        </w:trPr>
        <w:tc>
          <w:tcPr>
            <w:tcW w:type="dxa" w:w="2016"/>
            <w:vAlign w:val="center"/>
            <w:shd w:fill="F5F7F9"/>
          </w:tcPr>
          <w:p>
            <w:pPr>
              <w:spacing w:before="60" w:after="60"/>
            </w:pPr>
            <w:r>
              <w:rPr>
                <w:b w:val="0"/>
                <w:sz w:val="19"/>
              </w:rPr>
              <w:t>SIM GENE 03</w:t>
            </w:r>
          </w:p>
        </w:tc>
        <w:tc>
          <w:tcPr>
            <w:tcW w:type="dxa" w:w="2016"/>
            <w:vAlign w:val="center"/>
            <w:shd w:fill="F5F7F9"/>
          </w:tcPr>
          <w:p>
            <w:pPr>
              <w:spacing w:before="60" w:after="60"/>
            </w:pPr>
            <w:r>
              <w:rPr>
                <w:b w:val="0"/>
                <w:sz w:val="19"/>
              </w:rPr>
              <w:t>8.77e-09</w:t>
            </w:r>
          </w:p>
        </w:tc>
        <w:tc>
          <w:tcPr>
            <w:tcW w:type="dxa" w:w="2016"/>
            <w:vAlign w:val="center"/>
            <w:shd w:fill="F5F7F9"/>
          </w:tcPr>
          <w:p>
            <w:pPr>
              <w:spacing w:before="60" w:after="60"/>
            </w:pPr>
            <w:r>
              <w:rPr>
                <w:b w:val="0"/>
                <w:sz w:val="19"/>
              </w:rPr>
              <w:t>0.431</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No</w:t>
            </w:r>
          </w:p>
        </w:tc>
      </w:tr>
      <w:tr>
        <w:trPr>
          <w:cantSplit/>
        </w:trPr>
        <w:tc>
          <w:tcPr>
            <w:tcW w:type="dxa" w:w="2016"/>
            <w:vAlign w:val="center"/>
            <w:shd w:fill="FFFFFF"/>
          </w:tcPr>
          <w:p>
            <w:pPr>
              <w:spacing w:before="60" w:after="60"/>
            </w:pPr>
            <w:r>
              <w:rPr>
                <w:b w:val="0"/>
                <w:sz w:val="19"/>
              </w:rPr>
              <w:t>SIM GENE 04</w:t>
            </w:r>
          </w:p>
        </w:tc>
        <w:tc>
          <w:tcPr>
            <w:tcW w:type="dxa" w:w="2016"/>
            <w:vAlign w:val="center"/>
            <w:shd w:fill="FFFFFF"/>
          </w:tcPr>
          <w:p>
            <w:pPr>
              <w:spacing w:before="60" w:after="60"/>
            </w:pPr>
            <w:r>
              <w:rPr>
                <w:b w:val="0"/>
                <w:sz w:val="19"/>
              </w:rPr>
              <w:t>1.08e-10</w:t>
            </w:r>
          </w:p>
        </w:tc>
        <w:tc>
          <w:tcPr>
            <w:tcW w:type="dxa" w:w="2016"/>
            <w:vAlign w:val="center"/>
            <w:shd w:fill="FFFFFF"/>
          </w:tcPr>
          <w:p>
            <w:pPr>
              <w:spacing w:before="60" w:after="60"/>
            </w:pPr>
            <w:r>
              <w:rPr>
                <w:b w:val="0"/>
                <w:sz w:val="19"/>
              </w:rPr>
              <w:t>1.15e-06</w:t>
            </w:r>
          </w:p>
        </w:tc>
        <w:tc>
          <w:tcPr>
            <w:tcW w:type="dxa" w:w="2016"/>
            <w:vAlign w:val="center"/>
            <w:shd w:fill="FFFFFF"/>
          </w:tcPr>
          <w:p>
            <w:pPr>
              <w:spacing w:before="60" w:after="60"/>
            </w:pPr>
            <w:r>
              <w:rPr>
                <w:b w:val="0"/>
                <w:sz w:val="19"/>
              </w:rPr>
              <w:t>Yes</w:t>
            </w:r>
          </w:p>
        </w:tc>
        <w:tc>
          <w:tcPr>
            <w:tcW w:type="dxa" w:w="2016"/>
            <w:vAlign w:val="center"/>
            <w:shd w:fill="FFFFFF"/>
          </w:tcPr>
          <w:p>
            <w:pPr>
              <w:spacing w:before="60" w:after="60"/>
            </w:pPr>
            <w:r>
              <w:rPr>
                <w:b w:val="0"/>
                <w:sz w:val="19"/>
              </w:rPr>
              <w:t>Yes</w:t>
            </w:r>
          </w:p>
        </w:tc>
      </w:tr>
      <w:tr>
        <w:trPr>
          <w:cantSplit/>
        </w:trPr>
        <w:tc>
          <w:tcPr>
            <w:tcW w:type="dxa" w:w="2016"/>
            <w:vAlign w:val="center"/>
            <w:shd w:fill="F5F7F9"/>
          </w:tcPr>
          <w:p>
            <w:pPr>
              <w:spacing w:before="60" w:after="60"/>
            </w:pPr>
            <w:r>
              <w:rPr>
                <w:b w:val="0"/>
                <w:sz w:val="19"/>
              </w:rPr>
              <w:t>SIM GENE 05</w:t>
            </w:r>
          </w:p>
        </w:tc>
        <w:tc>
          <w:tcPr>
            <w:tcW w:type="dxa" w:w="2016"/>
            <w:vAlign w:val="center"/>
            <w:shd w:fill="F5F7F9"/>
          </w:tcPr>
          <w:p>
            <w:pPr>
              <w:spacing w:before="60" w:after="60"/>
            </w:pPr>
            <w:r>
              <w:rPr>
                <w:b w:val="0"/>
                <w:sz w:val="19"/>
              </w:rPr>
              <w:t>5.7e-18</w:t>
            </w:r>
          </w:p>
        </w:tc>
        <w:tc>
          <w:tcPr>
            <w:tcW w:type="dxa" w:w="2016"/>
            <w:vAlign w:val="center"/>
            <w:shd w:fill="F5F7F9"/>
          </w:tcPr>
          <w:p>
            <w:pPr>
              <w:spacing w:before="60" w:after="60"/>
            </w:pPr>
            <w:r>
              <w:rPr>
                <w:b w:val="0"/>
                <w:sz w:val="19"/>
              </w:rPr>
              <w:t>3.03e-05</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Yes</w:t>
            </w:r>
          </w:p>
        </w:tc>
      </w:tr>
      <w:tr>
        <w:trPr>
          <w:cantSplit/>
        </w:trPr>
        <w:tc>
          <w:tcPr>
            <w:tcW w:type="dxa" w:w="2016"/>
            <w:vAlign w:val="center"/>
            <w:shd w:fill="FFFFFF"/>
          </w:tcPr>
          <w:p>
            <w:pPr>
              <w:spacing w:before="60" w:after="60"/>
            </w:pPr>
            <w:r>
              <w:rPr>
                <w:b w:val="0"/>
                <w:sz w:val="19"/>
              </w:rPr>
              <w:t>SIM GENE 06</w:t>
            </w:r>
          </w:p>
        </w:tc>
        <w:tc>
          <w:tcPr>
            <w:tcW w:type="dxa" w:w="2016"/>
            <w:vAlign w:val="center"/>
            <w:shd w:fill="FFFFFF"/>
          </w:tcPr>
          <w:p>
            <w:pPr>
              <w:spacing w:before="60" w:after="60"/>
            </w:pPr>
            <w:r>
              <w:rPr>
                <w:b w:val="0"/>
                <w:sz w:val="19"/>
              </w:rPr>
              <w:t>0.863</w:t>
            </w:r>
          </w:p>
        </w:tc>
        <w:tc>
          <w:tcPr>
            <w:tcW w:type="dxa" w:w="2016"/>
            <w:vAlign w:val="center"/>
            <w:shd w:fill="FFFFFF"/>
          </w:tcPr>
          <w:p>
            <w:pPr>
              <w:spacing w:before="60" w:after="60"/>
            </w:pPr>
            <w:r>
              <w:rPr>
                <w:b w:val="0"/>
                <w:sz w:val="19"/>
              </w:rPr>
              <w:t>0.719</w:t>
            </w:r>
          </w:p>
        </w:tc>
        <w:tc>
          <w:tcPr>
            <w:tcW w:type="dxa" w:w="2016"/>
            <w:vAlign w:val="center"/>
            <w:shd w:fill="FFFFFF"/>
          </w:tcPr>
          <w:p>
            <w:pPr>
              <w:spacing w:before="60" w:after="60"/>
            </w:pPr>
            <w:r>
              <w:rPr>
                <w:b w:val="0"/>
                <w:sz w:val="19"/>
              </w:rPr>
              <w:t>No</w:t>
            </w:r>
          </w:p>
        </w:tc>
        <w:tc>
          <w:tcPr>
            <w:tcW w:type="dxa" w:w="2016"/>
            <w:vAlign w:val="center"/>
            <w:shd w:fill="FFFFFF"/>
          </w:tcPr>
          <w:p>
            <w:pPr>
              <w:spacing w:before="60" w:after="60"/>
            </w:pPr>
            <w:r>
              <w:rPr>
                <w:b w:val="0"/>
                <w:sz w:val="19"/>
              </w:rPr>
              <w:t>No</w:t>
            </w:r>
          </w:p>
        </w:tc>
      </w:tr>
      <w:tr>
        <w:trPr>
          <w:cantSplit/>
        </w:trPr>
        <w:tc>
          <w:tcPr>
            <w:tcW w:type="dxa" w:w="2016"/>
            <w:vAlign w:val="center"/>
            <w:shd w:fill="F5F7F9"/>
          </w:tcPr>
          <w:p>
            <w:pPr>
              <w:spacing w:before="60" w:after="60"/>
            </w:pPr>
            <w:r>
              <w:rPr>
                <w:b w:val="0"/>
                <w:sz w:val="19"/>
              </w:rPr>
              <w:t>SIM GENE 07</w:t>
            </w:r>
          </w:p>
        </w:tc>
        <w:tc>
          <w:tcPr>
            <w:tcW w:type="dxa" w:w="2016"/>
            <w:vAlign w:val="center"/>
            <w:shd w:fill="F5F7F9"/>
          </w:tcPr>
          <w:p>
            <w:pPr>
              <w:spacing w:before="60" w:after="60"/>
            </w:pPr>
            <w:r>
              <w:rPr>
                <w:b w:val="0"/>
                <w:sz w:val="19"/>
              </w:rPr>
              <w:t>2.26e-10</w:t>
            </w:r>
          </w:p>
        </w:tc>
        <w:tc>
          <w:tcPr>
            <w:tcW w:type="dxa" w:w="2016"/>
            <w:vAlign w:val="center"/>
            <w:shd w:fill="F5F7F9"/>
          </w:tcPr>
          <w:p>
            <w:pPr>
              <w:spacing w:before="60" w:after="60"/>
            </w:pPr>
            <w:r>
              <w:rPr>
                <w:b w:val="0"/>
                <w:sz w:val="19"/>
              </w:rPr>
              <w:t>0.509</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No</w:t>
            </w:r>
          </w:p>
        </w:tc>
      </w:tr>
      <w:tr>
        <w:trPr>
          <w:cantSplit/>
        </w:trPr>
        <w:tc>
          <w:tcPr>
            <w:tcW w:type="dxa" w:w="2016"/>
            <w:vAlign w:val="center"/>
            <w:shd w:fill="FFFFFF"/>
          </w:tcPr>
          <w:p>
            <w:pPr>
              <w:spacing w:before="60" w:after="60"/>
            </w:pPr>
            <w:r>
              <w:rPr>
                <w:b w:val="0"/>
                <w:sz w:val="19"/>
              </w:rPr>
              <w:t>SIM GENE 08</w:t>
            </w:r>
          </w:p>
        </w:tc>
        <w:tc>
          <w:tcPr>
            <w:tcW w:type="dxa" w:w="2016"/>
            <w:vAlign w:val="center"/>
            <w:shd w:fill="FFFFFF"/>
          </w:tcPr>
          <w:p>
            <w:pPr>
              <w:spacing w:before="60" w:after="60"/>
            </w:pPr>
            <w:r>
              <w:rPr>
                <w:b w:val="0"/>
                <w:sz w:val="19"/>
              </w:rPr>
              <w:t>9.38e-06</w:t>
            </w:r>
          </w:p>
        </w:tc>
        <w:tc>
          <w:tcPr>
            <w:tcW w:type="dxa" w:w="2016"/>
            <w:vAlign w:val="center"/>
            <w:shd w:fill="FFFFFF"/>
          </w:tcPr>
          <w:p>
            <w:pPr>
              <w:spacing w:before="60" w:after="60"/>
            </w:pPr>
            <w:r>
              <w:rPr>
                <w:b w:val="0"/>
                <w:sz w:val="19"/>
              </w:rPr>
              <w:t>9.32e-05</w:t>
            </w:r>
          </w:p>
        </w:tc>
        <w:tc>
          <w:tcPr>
            <w:tcW w:type="dxa" w:w="2016"/>
            <w:vAlign w:val="center"/>
            <w:shd w:fill="FFFFFF"/>
          </w:tcPr>
          <w:p>
            <w:pPr>
              <w:spacing w:before="60" w:after="60"/>
            </w:pPr>
            <w:r>
              <w:rPr>
                <w:b w:val="0"/>
                <w:sz w:val="19"/>
              </w:rPr>
              <w:t>Yes</w:t>
            </w:r>
          </w:p>
        </w:tc>
        <w:tc>
          <w:tcPr>
            <w:tcW w:type="dxa" w:w="2016"/>
            <w:vAlign w:val="center"/>
            <w:shd w:fill="FFFFFF"/>
          </w:tcPr>
          <w:p>
            <w:pPr>
              <w:spacing w:before="60" w:after="60"/>
            </w:pPr>
            <w:r>
              <w:rPr>
                <w:b w:val="0"/>
                <w:sz w:val="19"/>
              </w:rPr>
              <w:t>Yes</w:t>
            </w:r>
          </w:p>
        </w:tc>
      </w:tr>
      <w:tr>
        <w:trPr>
          <w:cantSplit/>
        </w:trPr>
        <w:tc>
          <w:tcPr>
            <w:tcW w:type="dxa" w:w="2016"/>
            <w:vAlign w:val="center"/>
            <w:shd w:fill="F5F7F9"/>
          </w:tcPr>
          <w:p>
            <w:pPr>
              <w:spacing w:before="60" w:after="60"/>
            </w:pPr>
            <w:r>
              <w:rPr>
                <w:b w:val="0"/>
                <w:sz w:val="19"/>
              </w:rPr>
              <w:t>SIM GENE 09</w:t>
            </w:r>
          </w:p>
        </w:tc>
        <w:tc>
          <w:tcPr>
            <w:tcW w:type="dxa" w:w="2016"/>
            <w:vAlign w:val="center"/>
            <w:shd w:fill="F5F7F9"/>
          </w:tcPr>
          <w:p>
            <w:pPr>
              <w:spacing w:before="60" w:after="60"/>
            </w:pPr>
            <w:r>
              <w:rPr>
                <w:b w:val="0"/>
                <w:sz w:val="19"/>
              </w:rPr>
              <w:t>1.08e-18</w:t>
            </w:r>
          </w:p>
        </w:tc>
        <w:tc>
          <w:tcPr>
            <w:tcW w:type="dxa" w:w="2016"/>
            <w:vAlign w:val="center"/>
            <w:shd w:fill="F5F7F9"/>
          </w:tcPr>
          <w:p>
            <w:pPr>
              <w:spacing w:before="60" w:after="60"/>
            </w:pPr>
            <w:r>
              <w:rPr>
                <w:b w:val="0"/>
                <w:sz w:val="19"/>
              </w:rPr>
              <w:t>3.09e-06</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Yes</w:t>
            </w:r>
          </w:p>
        </w:tc>
      </w:tr>
      <w:tr>
        <w:trPr>
          <w:cantSplit/>
        </w:trPr>
        <w:tc>
          <w:tcPr>
            <w:tcW w:type="dxa" w:w="2016"/>
            <w:vAlign w:val="center"/>
            <w:shd w:fill="FFFFFF"/>
          </w:tcPr>
          <w:p>
            <w:pPr>
              <w:spacing w:before="60" w:after="60"/>
            </w:pPr>
            <w:r>
              <w:rPr>
                <w:b w:val="0"/>
                <w:sz w:val="19"/>
              </w:rPr>
              <w:t>SIM GENE 10</w:t>
            </w:r>
          </w:p>
        </w:tc>
        <w:tc>
          <w:tcPr>
            <w:tcW w:type="dxa" w:w="2016"/>
            <w:vAlign w:val="center"/>
            <w:shd w:fill="FFFFFF"/>
          </w:tcPr>
          <w:p>
            <w:pPr>
              <w:spacing w:before="60" w:after="60"/>
            </w:pPr>
            <w:r>
              <w:rPr>
                <w:b w:val="0"/>
                <w:sz w:val="19"/>
              </w:rPr>
              <w:t>0.126</w:t>
            </w:r>
          </w:p>
        </w:tc>
        <w:tc>
          <w:tcPr>
            <w:tcW w:type="dxa" w:w="2016"/>
            <w:vAlign w:val="center"/>
            <w:shd w:fill="FFFFFF"/>
          </w:tcPr>
          <w:p>
            <w:pPr>
              <w:spacing w:before="60" w:after="60"/>
            </w:pPr>
            <w:r>
              <w:rPr>
                <w:b w:val="0"/>
                <w:sz w:val="19"/>
              </w:rPr>
              <w:t>0.0318</w:t>
            </w:r>
          </w:p>
        </w:tc>
        <w:tc>
          <w:tcPr>
            <w:tcW w:type="dxa" w:w="2016"/>
            <w:vAlign w:val="center"/>
            <w:shd w:fill="FFFFFF"/>
          </w:tcPr>
          <w:p>
            <w:pPr>
              <w:spacing w:before="60" w:after="60"/>
            </w:pPr>
            <w:r>
              <w:rPr>
                <w:b w:val="0"/>
                <w:sz w:val="19"/>
              </w:rPr>
              <w:t>No</w:t>
            </w:r>
          </w:p>
        </w:tc>
        <w:tc>
          <w:tcPr>
            <w:tcW w:type="dxa" w:w="2016"/>
            <w:vAlign w:val="center"/>
            <w:shd w:fill="FFFFFF"/>
          </w:tcPr>
          <w:p>
            <w:pPr>
              <w:spacing w:before="60" w:after="60"/>
            </w:pPr>
            <w:r>
              <w:rPr>
                <w:b w:val="0"/>
                <w:sz w:val="19"/>
              </w:rPr>
              <w:t>No</w:t>
            </w:r>
          </w:p>
        </w:tc>
      </w:tr>
      <w:tr>
        <w:trPr>
          <w:cantSplit/>
        </w:trPr>
        <w:tc>
          <w:tcPr>
            <w:tcW w:type="dxa" w:w="2016"/>
            <w:vAlign w:val="center"/>
            <w:shd w:fill="F5F7F9"/>
          </w:tcPr>
          <w:p>
            <w:pPr>
              <w:spacing w:before="60" w:after="60"/>
            </w:pPr>
            <w:r>
              <w:rPr>
                <w:b w:val="0"/>
                <w:sz w:val="19"/>
              </w:rPr>
              <w:t>SIM GENE 11</w:t>
            </w:r>
          </w:p>
        </w:tc>
        <w:tc>
          <w:tcPr>
            <w:tcW w:type="dxa" w:w="2016"/>
            <w:vAlign w:val="center"/>
            <w:shd w:fill="F5F7F9"/>
          </w:tcPr>
          <w:p>
            <w:pPr>
              <w:spacing w:before="60" w:after="60"/>
            </w:pPr>
            <w:r>
              <w:rPr>
                <w:b w:val="0"/>
                <w:sz w:val="19"/>
              </w:rPr>
              <w:t>7.95e-08</w:t>
            </w:r>
          </w:p>
        </w:tc>
        <w:tc>
          <w:tcPr>
            <w:tcW w:type="dxa" w:w="2016"/>
            <w:vAlign w:val="center"/>
            <w:shd w:fill="F5F7F9"/>
          </w:tcPr>
          <w:p>
            <w:pPr>
              <w:spacing w:before="60" w:after="60"/>
            </w:pPr>
            <w:r>
              <w:rPr>
                <w:b w:val="0"/>
                <w:sz w:val="19"/>
              </w:rPr>
              <w:t>0.656</w:t>
            </w:r>
          </w:p>
        </w:tc>
        <w:tc>
          <w:tcPr>
            <w:tcW w:type="dxa" w:w="2016"/>
            <w:vAlign w:val="center"/>
            <w:shd w:fill="F5F7F9"/>
          </w:tcPr>
          <w:p>
            <w:pPr>
              <w:spacing w:before="60" w:after="60"/>
            </w:pPr>
            <w:r>
              <w:rPr>
                <w:b w:val="0"/>
                <w:sz w:val="19"/>
              </w:rPr>
              <w:t>Yes</w:t>
            </w:r>
          </w:p>
        </w:tc>
        <w:tc>
          <w:tcPr>
            <w:tcW w:type="dxa" w:w="2016"/>
            <w:vAlign w:val="center"/>
            <w:shd w:fill="F5F7F9"/>
          </w:tcPr>
          <w:p>
            <w:pPr>
              <w:spacing w:before="60" w:after="60"/>
            </w:pPr>
            <w:r>
              <w:rPr>
                <w:b w:val="0"/>
                <w:sz w:val="19"/>
              </w:rPr>
              <w:t>No</w:t>
            </w:r>
          </w:p>
        </w:tc>
      </w:tr>
      <w:tr>
        <w:trPr>
          <w:cantSplit/>
        </w:trPr>
        <w:tc>
          <w:tcPr>
            <w:tcW w:type="dxa" w:w="2016"/>
            <w:vAlign w:val="center"/>
            <w:shd w:fill="FFFFFF"/>
          </w:tcPr>
          <w:p>
            <w:pPr>
              <w:spacing w:before="60" w:after="60"/>
            </w:pPr>
            <w:r>
              <w:rPr>
                <w:b w:val="0"/>
                <w:sz w:val="19"/>
              </w:rPr>
              <w:t>SIM GENE 12</w:t>
            </w:r>
          </w:p>
        </w:tc>
        <w:tc>
          <w:tcPr>
            <w:tcW w:type="dxa" w:w="2016"/>
            <w:vAlign w:val="center"/>
            <w:shd w:fill="FFFFFF"/>
          </w:tcPr>
          <w:p>
            <w:pPr>
              <w:spacing w:before="60" w:after="60"/>
            </w:pPr>
            <w:r>
              <w:rPr>
                <w:b w:val="0"/>
                <w:sz w:val="19"/>
              </w:rPr>
              <w:t>5.02e-09</w:t>
            </w:r>
          </w:p>
        </w:tc>
        <w:tc>
          <w:tcPr>
            <w:tcW w:type="dxa" w:w="2016"/>
            <w:vAlign w:val="center"/>
            <w:shd w:fill="FFFFFF"/>
          </w:tcPr>
          <w:p>
            <w:pPr>
              <w:spacing w:before="60" w:after="60"/>
            </w:pPr>
            <w:r>
              <w:rPr>
                <w:b w:val="0"/>
                <w:sz w:val="19"/>
              </w:rPr>
              <w:t>1.07e-05</w:t>
            </w:r>
          </w:p>
        </w:tc>
        <w:tc>
          <w:tcPr>
            <w:tcW w:type="dxa" w:w="2016"/>
            <w:vAlign w:val="center"/>
            <w:shd w:fill="FFFFFF"/>
          </w:tcPr>
          <w:p>
            <w:pPr>
              <w:spacing w:before="60" w:after="60"/>
            </w:pPr>
            <w:r>
              <w:rPr>
                <w:b w:val="0"/>
                <w:sz w:val="19"/>
              </w:rPr>
              <w:t>Yes</w:t>
            </w:r>
          </w:p>
        </w:tc>
        <w:tc>
          <w:tcPr>
            <w:tcW w:type="dxa" w:w="2016"/>
            <w:vAlign w:val="center"/>
            <w:shd w:fill="FFFFFF"/>
          </w:tcPr>
          <w:p>
            <w:pPr>
              <w:spacing w:before="60" w:after="60"/>
            </w:pPr>
            <w:r>
              <w:rPr>
                <w:b w:val="0"/>
                <w:sz w:val="19"/>
              </w:rPr>
              <w:t>Yes</w:t>
            </w:r>
          </w:p>
        </w:tc>
      </w:tr>
    </w:tbl>
    <w:p>
      <w:pPr>
        <w:pStyle w:val="BodyText"/>
        <w:keepNext/>
        <w:spacing w:before="200"/>
        <w:jc w:val="center"/>
      </w:pPr>
      <w:r>
        <w:drawing>
          <wp:inline>
            <wp:extent cx="5852160" cy="5220859"/>
            <wp:effectExtent b="0" l="0" r="0" t="0"/>
            <wp:docPr descr="" title="" id="42" name="Picture"/>
            <a:graphic>
              <a:graphicData uri="http://schemas.openxmlformats.org/drawingml/2006/picture">
                <pic:pic>
                  <pic:nvPicPr>
                    <pic:cNvPr descr="../figures/example_qtl_map.png" id="43" name="Picture"/>
                    <pic:cNvPicPr>
                      <a:picLocks noChangeArrowheads="1" noChangeAspect="1"/>
                    </pic:cNvPicPr>
                  </pic:nvPicPr>
                  <pic:blipFill>
                    <a:blip r:embed="rId41"/>
                    <a:stretch>
                      <a:fillRect/>
                    </a:stretch>
                  </pic:blipFill>
                  <pic:spPr bwMode="auto">
                    <a:xfrm>
                      <a:off x="0" y="0"/>
                      <a:ext cx="5852160" cy="5220859"/>
                    </a:xfrm>
                    <a:prstGeom prst="rect">
                      <a:avLst/>
                    </a:prstGeom>
                    <a:noFill/>
                    <a:ln w="9525">
                      <a:noFill/>
                      <a:headEnd/>
                      <a:tailEnd/>
                    </a:ln>
                  </pic:spPr>
                </pic:pic>
              </a:graphicData>
            </a:graphic>
          </wp:inline>
        </w:drawing>
      </w:r>
    </w:p>
    <w:p>
      <w:pPr>
        <w:pStyle w:val="BodyText"/>
        <w:spacing w:after="180"/>
      </w:pPr>
      <w:r>
        <w:t xml:space="preserve">Figure 7. Omnibus and interaction adjusted P values from the preserved ordinary F analysis for all twelve example genes. Asterisks mark q below 0.05 within each separately adjusted family. Colours show negative log10 q, capped at 15, and do not establish causal regulation.</w:t>
      </w:r>
    </w:p>
    <w:bookmarkEnd w:id="44"/>
    <w:bookmarkEnd w:id="45"/>
    <w:bookmarkStart w:id="46" w:name="discussion"/>
    <w:p>
      <w:pPr>
        <w:pStyle w:val="Heading2"/>
        <w:keepNext/>
      </w:pPr>
      <w:r>
        <w:t xml:space="preserve">Discussion</w:t>
      </w:r>
    </w:p>
    <w:p>
      <w:pPr>
        <w:pStyle w:val="FirstParagraph"/>
      </w:pPr>
      <w:r>
        <w:t xml:space="preserve">This experiment provides a more explicit genetic anchor for Study 3 than a generic comparison of integration algorithms. MOFA discovers major molecular patterns, DIABLO evaluates a supervised subtype signature, and cis-eQTL tests examine local genetic associations with RNA. A useful expression signature need not contain eQTL genes, and an eQTL can be shared across subtypes without improving classification. Agreement between these analyses would be informative, but disagreement is not inherently a failure.</w:t>
      </w:r>
    </w:p>
    <w:p>
      <w:pPr>
        <w:pStyle w:val="BodyText"/>
      </w:pPr>
      <w:r>
        <w:t xml:space="preserve">The subtype-eQTL scenario intentionally combines genetic interaction and mean abundance differences. Its classification results cannot isolate the contribution of interactions. Shared-eQTL and abundance-only controls help separate these ingredients, but further factorial simulations would be needed to quantify their individual predictive contributions. The independent test sets assess performance under the same generating population, not transport to a new clinical cohort or ancestry.</w:t>
      </w:r>
    </w:p>
    <w:p>
      <w:pPr>
        <w:pStyle w:val="BodyText"/>
      </w:pPr>
      <w:r>
        <w:t xml:space="preserve">Real-data interpretation requires additional safeguards. Blood RNA can reflect immune composition, treatment, disease consequences and sampling conditions rather than tumour-specific regulation. Germline genotypes must come from a defensible assay, with ancestry, relatedness, imputation and variant QC addressed. A cell-composition estimate is measured imperfectly in practice; the simulation uses the true generated covariate. Subtype-associated selection among breast cancer cases can also complicate causal interpretation. None of the models proves that an expression change causes TNBC.</w:t>
      </w:r>
    </w:p>
    <w:p>
      <w:pPr>
        <w:pStyle w:val="BodyText"/>
      </w:pPr>
      <w:r>
        <w:t xml:space="preserve">The simulation is deliberately small: six local regions, twelve genes, common variants, idealised ancestry adjustment and ten integration replicates per cell. LD is synthetic. There are no rare-variant burdens, real breast cancer risk loci, empirical African reference haplotypes, copy-number changes, longitudinal treatment effects, missing assays or independent biological replication. Strong planted effects and a twelve-gene testing family make this unsuitable as a definitive PhD sample-size calculation. Small-panel power must not be extrapolated to tens of thousands of genes.</w:t>
      </w:r>
    </w:p>
    <w:p>
      <w:pPr>
        <w:pStyle w:val="BodyText"/>
      </w:pPr>
      <w:r>
        <w:t xml:space="preserve">The eQTL F tests use a working linear model on transformed counts. The original abundance-only error excess remains a limitation despite the more reassuring fresh controls. HC3 can address variance misspecification but cannot certify the mean model or finite-sample calibration. More realistic studies should assess count-model sensitivity, expression confounding, genotype uncertainty and alternative covariate specifications. Statistical association does not identify the causal variant or establish a mediation chain. Colocalisation with external breast cancer GWAS would require actual harmonised regional summary statistics, ancestry-appropriate LD and explicit assumptions; it is not supplied by the current simulation. Public tissue-specific eQTL resources can provide context but cannot be labelled as a replication in the proposed clinical cohort [5,6].</w:t>
      </w:r>
    </w:p>
    <w:bookmarkEnd w:id="46"/>
    <w:bookmarkStart w:id="47" w:name="conclusion"/>
    <w:p>
      <w:pPr>
        <w:pStyle w:val="Heading2"/>
        <w:keepNext/>
      </w:pPr>
      <w:r>
        <w:t xml:space="preserve">Conclusion</w:t>
      </w:r>
    </w:p>
    <w:p>
      <w:pPr>
        <w:pStyle w:val="FirstParagraph"/>
      </w:pPr>
      <w:r>
        <w:t xml:space="preserve">A genotype-and-RNA Study 3 can combine programme discovery, subtype prediction and direct local genetic association mapping while keeping their scientific questions separate. The present workflow supplies tested code, an inspectable small dataset and repeated performance estimates for that design. Negative-control excesses show that the current eQTL testing references need further calibration before confirmatory use. It is a simulated methods illustration, not a clinical biomarker or breast cancer susceptibility discovery study.</w:t>
      </w:r>
    </w:p>
    <w:bookmarkEnd w:id="47"/>
    <w:bookmarkStart w:id="54" w:name="references"/>
    <w:p>
      <w:pPr>
        <w:pStyle w:val="Heading2"/>
        <w:keepNext/>
      </w:pPr>
      <w:r>
        <w:t xml:space="preserve">References</w:t>
      </w:r>
    </w:p>
    <w:p>
      <w:pPr>
        <w:pStyle w:val="Compact"/>
        <w:numPr>
          <w:ilvl w:val="0"/>
          <w:numId w:val="1001"/>
        </w:numPr>
      </w:pPr>
      <w:r>
        <w:t xml:space="preserve">Argelaguet R, et al. MOFA+: a statistical framework for comprehensive integration of multi-modal single-cell data. Genome Biology. 2020;21:111.</w:t>
      </w:r>
      <w:r>
        <w:t xml:space="preserve"> </w:t>
      </w:r>
      <w:hyperlink r:id="rId48">
        <w:r>
          <w:rPr>
            <w:rStyle w:val="Hyperlink"/>
          </w:rPr>
          <w:t xml:space="preserve">Methods paper</w:t>
        </w:r>
      </w:hyperlink>
      <w:r>
        <w:t xml:space="preserve">.</w:t>
      </w:r>
    </w:p>
    <w:p>
      <w:pPr>
        <w:pStyle w:val="Compact"/>
        <w:numPr>
          <w:ilvl w:val="0"/>
          <w:numId w:val="1001"/>
        </w:numPr>
      </w:pPr>
      <w:r>
        <w:t xml:space="preserve">MOFA developers.</w:t>
      </w:r>
      <w:r>
        <w:t xml:space="preserve"> </w:t>
      </w:r>
      <w:hyperlink r:id="rId49">
        <w:r>
          <w:rPr>
            <w:rStyle w:val="Hyperlink"/>
          </w:rPr>
          <w:t xml:space="preserve">Official preprocessing and interpretation guidance</w:t>
        </w:r>
      </w:hyperlink>
      <w:r>
        <w:t xml:space="preserve">.</w:t>
      </w:r>
    </w:p>
    <w:p>
      <w:pPr>
        <w:pStyle w:val="Compact"/>
        <w:numPr>
          <w:ilvl w:val="0"/>
          <w:numId w:val="1001"/>
        </w:numPr>
      </w:pPr>
      <w:r>
        <w:t xml:space="preserve">Singh A, et al. DIABLO: an integrative approach for identifying key molecular drivers from multi-omics assays. Bioinformatics. 2019;35:3055–3062.</w:t>
      </w:r>
      <w:r>
        <w:t xml:space="preserve"> </w:t>
      </w:r>
      <w:hyperlink r:id="rId50">
        <w:r>
          <w:rPr>
            <w:rStyle w:val="Hyperlink"/>
          </w:rPr>
          <w:t xml:space="preserve">Methods paper</w:t>
        </w:r>
      </w:hyperlink>
      <w:r>
        <w:t xml:space="preserve">.</w:t>
      </w:r>
    </w:p>
    <w:p>
      <w:pPr>
        <w:pStyle w:val="Compact"/>
        <w:numPr>
          <w:ilvl w:val="0"/>
          <w:numId w:val="1001"/>
        </w:numPr>
      </w:pPr>
      <w:r>
        <w:t xml:space="preserve">mixOmics developers.</w:t>
      </w:r>
      <w:r>
        <w:t xml:space="preserve"> </w:t>
      </w:r>
      <w:hyperlink r:id="rId51">
        <w:r>
          <w:rPr>
            <w:rStyle w:val="Hyperlink"/>
          </w:rPr>
          <w:t xml:space="preserve">Official DIABLO documentation</w:t>
        </w:r>
      </w:hyperlink>
      <w:r>
        <w:t xml:space="preserve">.</w:t>
      </w:r>
    </w:p>
    <w:p>
      <w:pPr>
        <w:pStyle w:val="Compact"/>
        <w:numPr>
          <w:ilvl w:val="0"/>
          <w:numId w:val="1001"/>
        </w:numPr>
      </w:pPr>
      <w:r>
        <w:t xml:space="preserve">GTEx Consortium. The GTEx Consortium atlas of genetic regulatory effects across human tissues. Science. 2020;369:1318–1330.</w:t>
      </w:r>
      <w:r>
        <w:t xml:space="preserve"> </w:t>
      </w:r>
      <w:hyperlink r:id="rId52">
        <w:r>
          <w:rPr>
            <w:rStyle w:val="Hyperlink"/>
          </w:rPr>
          <w:t xml:space="preserve">Research article</w:t>
        </w:r>
      </w:hyperlink>
      <w:r>
        <w:t xml:space="preserve">.</w:t>
      </w:r>
    </w:p>
    <w:p>
      <w:pPr>
        <w:pStyle w:val="Compact"/>
        <w:numPr>
          <w:ilvl w:val="0"/>
          <w:numId w:val="1001"/>
        </w:numPr>
      </w:pPr>
      <w:r>
        <w:t xml:space="preserve">EMBL-EBI.</w:t>
      </w:r>
      <w:r>
        <w:t xml:space="preserve"> </w:t>
      </w:r>
      <w:hyperlink r:id="rId53">
        <w:r>
          <w:rPr>
            <w:rStyle w:val="Hyperlink"/>
          </w:rPr>
          <w:t xml:space="preserve">eQTL Catalogue</w:t>
        </w:r>
      </w:hyperlink>
      <w:r>
        <w:t xml:space="preserve">.</w:t>
      </w:r>
    </w:p>
    <w:bookmarkEnd w:id="54"/>
    <w:bookmarkStart w:id="56" w:name="data-and-code-availability"/>
    <w:p>
      <w:pPr>
        <w:pStyle w:val="Heading2"/>
        <w:keepNext/>
      </w:pPr>
      <w:r>
        <w:t xml:space="preserve">Data and code availability</w:t>
      </w:r>
    </w:p>
    <w:p>
      <w:pPr>
        <w:pStyle w:val="FirstParagraph"/>
      </w:pPr>
      <w:r>
        <w:t xml:space="preserve">All released observations and genomic annotations in this experiment are synthetic. No patient data, private proposal documents, controlled-access genotypes or external eQTL summary statistics are included. Code, simulation results and reports are available in</w:t>
      </w:r>
      <w:r>
        <w:t xml:space="preserve"> </w:t>
      </w:r>
      <w:hyperlink r:id="rId55">
        <w:r>
          <w:rPr>
            <w:rStyle w:val="Hyperlink"/>
          </w:rPr>
          <w:t xml:space="preserve">the public repository</w:t>
        </w:r>
      </w:hyperlink>
      <w:r>
        <w:t xml:space="preserve"> </w:t>
      </w:r>
      <w:r>
        <w:t xml:space="preserve">under the existing licence. Earlier protein-containing experiments remain preserved as historical analyses; they are not input layers to the present workflow.</w:t>
      </w:r>
    </w:p>
    <w:bookmarkEnd w:id="56"/>
    <w:sectPr w:rsidR="00FC693F" w:rsidRPr="0006063C" w:rsidSect="00034616">
      <w:footerReference w:type="default" r:id="rId9"/>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Vusumuzi Mabasa | Simulated data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20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0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2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2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2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2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2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2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2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2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2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2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2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2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2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2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2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20" w:line="250" w:lineRule="auto"/>
    </w:pPr>
    <w:rPr>
      <w:rFonts w:ascii="Calibri" w:hAnsi="Calibri"/>
      <w:color w:val="000000"/>
      <w:sz w:val="22"/>
    </w:rPr>
  </w:style>
  <w:style w:customStyle="1" w:styleId="Compact" w:type="paragraph">
    <w:name w:val="Compact"/>
    <w:basedOn w:val="Normal"/>
    <w:pPr>
      <w:spacing w:after="120" w:line="250" w:lineRule="auto"/>
    </w:pPr>
    <w:rPr>
      <w:rFonts w:ascii="Calibri" w:hAnsi="Calibri"/>
      <w:color w:val="000000"/>
      <w:sz w:val="22"/>
    </w:rPr>
  </w:style>
  <w:style w:customStyle="1" w:styleId="SourceCode" w:type="paragraph">
    <w:name w:val="Source Code"/>
    <w:basedOn w:val="Normal"/>
    <w:pPr>
      <w:spacing w:after="12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8" Type="http://schemas.openxmlformats.org/officeDocument/2006/relationships/image" Target="media/rId38.png"/><Relationship Id="rId35" Type="http://schemas.openxmlformats.org/officeDocument/2006/relationships/image" Target="media/rId35.png"/><Relationship Id="rId41" Type="http://schemas.openxmlformats.org/officeDocument/2006/relationships/image" Target="media/rId41.png"/><Relationship Id="rId23" Type="http://schemas.openxmlformats.org/officeDocument/2006/relationships/image" Target="media/rId23.png"/><Relationship Id="rId11" Type="http://schemas.openxmlformats.org/officeDocument/2006/relationships/image" Target="media/rId11.png"/><Relationship Id="rId49" Type="http://schemas.openxmlformats.org/officeDocument/2006/relationships/hyperlink" Target="https://biofam.github.io/MOFA2/faq.html" TargetMode="External"/><Relationship Id="rId50" Type="http://schemas.openxmlformats.org/officeDocument/2006/relationships/hyperlink" Target="https://doi.org/10.1093/bioinformatics/bty1054" TargetMode="External"/><Relationship Id="rId48" Type="http://schemas.openxmlformats.org/officeDocument/2006/relationships/hyperlink" Target="https://doi.org/10.1186/s13059-020-02015-1" TargetMode="External"/><Relationship Id="rId55" Type="http://schemas.openxmlformats.org/officeDocument/2006/relationships/hyperlink" Target="https://github.com/Vusumuzi2Mabasa/Breast-Multiomics-Copula-MOFA" TargetMode="External"/><Relationship Id="rId51" Type="http://schemas.openxmlformats.org/officeDocument/2006/relationships/hyperlink" Target="https://mixomics.org/mixdiablo/" TargetMode="External"/><Relationship Id="rId52" Type="http://schemas.openxmlformats.org/officeDocument/2006/relationships/hyperlink" Target="https://pmc.ncbi.nlm.nih.gov/articles/PMC7737656/" TargetMode="External"/><Relationship Id="rId53" Type="http://schemas.openxmlformats.org/officeDocument/2006/relationships/hyperlink" Target="https://www.ebi.ac.uk/eqt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9" Type="http://schemas.openxmlformats.org/officeDocument/2006/relationships/hyperlink" Target="https://biofam.github.io/MOFA2/faq.html" TargetMode="External"/><Relationship Id="rId50" Type="http://schemas.openxmlformats.org/officeDocument/2006/relationships/hyperlink" Target="https://doi.org/10.1093/bioinformatics/bty1054" TargetMode="External"/><Relationship Id="rId48" Type="http://schemas.openxmlformats.org/officeDocument/2006/relationships/hyperlink" Target="https://doi.org/10.1186/s13059-020-02015-1" TargetMode="External"/><Relationship Id="rId55" Type="http://schemas.openxmlformats.org/officeDocument/2006/relationships/hyperlink" Target="https://github.com/Vusumuzi2Mabasa/Breast-Multiomics-Copula-MOFA" TargetMode="External"/><Relationship Id="rId51" Type="http://schemas.openxmlformats.org/officeDocument/2006/relationships/hyperlink" Target="https://mixomics.org/mixdiablo/" TargetMode="External"/><Relationship Id="rId52" Type="http://schemas.openxmlformats.org/officeDocument/2006/relationships/hyperlink" Target="https://pmc.ncbi.nlm.nih.gov/articles/PMC7737656/" TargetMode="External"/><Relationship Id="rId53" Type="http://schemas.openxmlformats.org/officeDocument/2006/relationships/hyperlink" Target="https://www.ebi.ac.uk/eq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Genotype and RNA Integration in Simulated Breast Cancer</dc:title>
  <dc:creator>Vusumuzi Mabasa</dc:creator>
  <cp:keywords/>
  <dcterms:created xsi:type="dcterms:W3CDTF">2026-10-30T19:46:52Z</dcterms:created>
  <dcterms:modified xsi:type="dcterms:W3CDTF">2026-10-30T19:46:52Z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Study 3 genotype RNA and cis eQTL simulation</vt:lpwstr>
  </property>
  <property fmtid="{D5CDD505-2E9C-101B-9397-08002B2CF9AE}" pid="12" name="toc-title">
    <vt:lpwstr>Table of contents</vt:lpwstr>
  </property>
</Properties>
</file>