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Copula and MOFA Integration of Simulated Blood Multiomics</w:t>
      </w:r>
    </w:p>
    <w:p>
      <w:pPr>
        <w:pStyle w:val="Subtitle"/>
      </w:pPr>
      <w:r>
        <w:t xml:space="preserve">A reproducible simulation benchmark</w:t>
      </w:r>
    </w:p>
    <w:p>
      <w:pPr>
        <w:pStyle w:val="Author"/>
      </w:pPr>
      <w:r>
        <w:t xml:space="preserve">Vusumuzi Mabasa</w:t>
      </w:r>
    </w:p>
    <w:p>
      <w:pPr>
        <w:pStyle w:val="FirstParagraph"/>
      </w:pPr>
      <w:r>
        <w:rPr>
          <w:b/>
          <w:bCs/>
        </w:rPr>
        <w:t xml:space="preserve">Simulation study.</w:t>
      </w:r>
      <w:r>
        <w:t xml:space="preserve"> </w:t>
      </w:r>
      <w:r>
        <w:t xml:space="preserve">All molecular measurements, participants, countries and subtype labels are synthetic. No TACA, Clin-MAP, patient or controlled-access data were used. This repository evaluates methods for a proposed blood-based breast cancer multi-omics study; it does not report biomarkers or results from that study.</w:t>
      </w:r>
    </w:p>
    <w:bookmarkStart w:id="9" w:name="abstract"/>
    <w:p>
      <w:pPr>
        <w:pStyle w:val="Heading2"/>
        <w:keepNext/>
      </w:pPr>
      <w:r>
        <w:t xml:space="preserve">Abstract</w:t>
      </w:r>
    </w:p>
    <w:p>
      <w:pPr>
        <w:pStyle w:val="FirstParagraph"/>
      </w:pPr>
      <w:r>
        <w:t xml:space="preserve">Integration of blood-derived genomic, transcriptomic and proteomic measurements requires methods that accommodate different measurement scales without mistaking shared technical variation for biology. We compared an extended-rank-likelihood Gaussian copula factor model with the official MOFA+ engine, a Gaussian MOFA+ sensitivity analysis and rank PCA. The benchmark comprised 360 independently generated training cohorts, each paired with 200 independent test participants, across six mechanisms and two training sizes. Each panel contained 48 features. A separate, prospectively strengthened experiment used 10,000 calibration and 8,000 fresh evaluation datasets to assess a prespecified RNA–protein dependence test; the initial smaller calibration experiment was preserved. Across the five scenarios containing subtype mean signals, the unweighted mean paired ROC-AUC difference between copula integration and mixed-likelihood MOFA+ was +0.003; this aggregate is descriptive and does not establish superiority. The analysis separates factor recovery, subtype prediction and detection of altered dependence. The small panels and synthetic mechanisms support methodological assessment rather than clinical inference.</w:t>
      </w:r>
    </w:p>
    <w:bookmarkEnd w:id="9"/>
    <w:bookmarkStart w:id="10" w:name="introduction"/>
    <w:p>
      <w:pPr>
        <w:pStyle w:val="Heading2"/>
        <w:keepNext/>
      </w:pPr>
      <w:r>
        <w:t xml:space="preserve">Introduction</w:t>
      </w:r>
    </w:p>
    <w:p>
      <w:pPr>
        <w:pStyle w:val="FirstParagraph"/>
      </w:pPr>
      <w:r>
        <w:t xml:space="preserve">Patient-matched genomic, RNA and protein data can reveal molecular programmes that are difficult to identify within one assay. In blood-based breast cancer studies, these programmes may reflect immune composition, host response, technical processing or disease-associated biology. Integrating measurements from the same participant does not establish tumour origin or a causal sequence from genomic variation to protein abundance.</w:t>
      </w:r>
    </w:p>
    <w:p>
      <w:pPr>
        <w:pStyle w:val="BodyText"/>
      </w:pPr>
      <w:r>
        <w:t xml:space="preserve">MOFA+ represents shared and view-specific variation through latent factors and supports Gaussian, Bernoulli and Poisson observation models [1]. Copula factor models provide an alternative by separating marginal distributions from dependence [2,3]. This separation may be useful for skewed abundance measurements and mixed discrete/continuous data. It does not guarantee better recovery or prediction, and a Gaussian copula does not represent arbitrary nonlinear or asymmetric tail dependence.</w:t>
      </w:r>
    </w:p>
    <w:p>
      <w:pPr>
        <w:pStyle w:val="BodyText"/>
      </w:pPr>
      <w:r>
        <w:t xml:space="preserve">We asked whether a manageable copula integration pipeline improves recovery of known molecular programmes and held-out subtype prediction relative to established factor integration. We also examined a distinct hypothesis: whether a prespecified RNA–protein relationship changes between simulated subtypes even when their univariate distributions remain unchanged. These questions correspond to different estimands and are evaluated separately.</w:t>
      </w:r>
    </w:p>
    <w:bookmarkEnd w:id="10"/>
    <w:bookmarkStart w:id="23" w:name="methods"/>
    <w:p>
      <w:pPr>
        <w:pStyle w:val="Heading2"/>
        <w:keepNext/>
      </w:pPr>
      <w:r>
        <w:t xml:space="preserve">Methods</w:t>
      </w:r>
    </w:p>
    <w:bookmarkStart w:id="13" w:name="design-and-measurement-structure"/>
    <w:p>
      <w:pPr>
        <w:pStyle w:val="Heading3"/>
        <w:keepNext/>
      </w:pPr>
      <w:r>
        <w:t xml:space="preserve">Design and measurement structure</w:t>
      </w:r>
    </w:p>
    <w:p>
      <w:pPr>
        <w:pStyle w:val="FirstParagraph"/>
      </w:pPr>
      <w:r>
        <w:t xml:space="preserve">The numerical design and source hashes were frozen before evaluation in</w:t>
      </w:r>
      <w:r>
        <w:t xml:space="preserve"> </w:t>
      </w:r>
      <w:hyperlink r:id="rId11">
        <w:r>
          <w:rPr>
            <w:rStyle w:val="Hyperlink"/>
          </w:rPr>
          <w:t xml:space="preserve">the protocol</w:t>
        </w:r>
      </w:hyperlink>
      <w:r>
        <w:t xml:space="preserve"> </w:t>
      </w:r>
      <w:r>
        <w:t xml:space="preserve">and</w:t>
      </w:r>
      <w:r>
        <w:t xml:space="preserve"> </w:t>
      </w:r>
      <w:hyperlink r:id="rId12">
        <w:r>
          <w:rPr>
            <w:rStyle w:val="Hyperlink"/>
          </w:rPr>
          <w:t xml:space="preserve">source lock</w:t>
        </w:r>
      </w:hyperlink>
      <w:r>
        <w:t xml:space="preserve">. Each of six settings was evaluated at training sizes 180 and 360 with 30 independent replicates per cell. Every replicate had a separate test cohort of 200 participants. Thus 360 training/test pairs contributed 2,160 method records; methods within a pair used identical participants and outcomes. Pilot and unit-test seeds were separate from evaluation seeds.</w:t>
      </w:r>
    </w:p>
    <w:p>
      <w:pPr>
        <w:pStyle w:val="BodyText"/>
      </w:pPr>
      <w:r>
        <w:t xml:space="preserve">Four matched views contained six germline dosages, six somatic indicators, 24 RNA measurements and 12 proteins. The two genomic views were retained separately. Germline dosages used binomial quantile thresholds with minor-allele frequencies 0.12–0.40, and somatic prevalences ranged from 0.04 to 0.20. These are illustrative marginal frequencies; the panels do not reproduce empirical African linkage disequilibrium, tumour evolution or a clinical sequencing assay.</w:t>
      </w:r>
    </w:p>
    <w:p>
      <w:pPr>
        <w:pStyle w:val="BodyText"/>
      </w:pPr>
      <w:r>
        <w:t xml:space="preserve">Three latent programmes generated the dependence backbone, comprising two stronger molecular programmes and one weaker shared programme:</w:t>
      </w:r>
    </w:p>
    <w:p>
      <w:pPr>
        <w:pStyle w:val="BodyText"/>
      </w:pPr>
      <m:oMathPara>
        <m:oMathParaPr>
          <m:jc m:val="center"/>
        </m:oMathParaPr>
        <m:oMath>
          <m:sSub>
            <m:e>
              <m:r>
                <m:t>H</m:t>
              </m:r>
            </m:e>
            <m:sub>
              <m:r>
                <m:t>i</m:t>
              </m:r>
            </m:sub>
          </m:sSub>
          <m:r>
            <m:rPr>
              <m:sty m:val="p"/>
            </m:rPr>
            <m:t>∼</m:t>
          </m:r>
          <m:sSub>
            <m:e>
              <m:r>
                <m:t>N</m:t>
              </m:r>
            </m:e>
            <m:sub>
              <m:r>
                <m:t>3</m:t>
              </m:r>
            </m:sub>
          </m:sSub>
          <m:r>
            <m:rPr>
              <m:sty m:val="p"/>
            </m:rPr>
            <m:t>(</m:t>
          </m:r>
          <m:r>
            <m:t>0</m:t>
          </m:r>
          <m:r>
            <m:rPr>
              <m:sty m:val="p"/>
            </m:rPr>
            <m:t>,</m:t>
          </m:r>
          <m:sSub>
            <m:e>
              <m:r>
                <m:t>I</m:t>
              </m:r>
            </m:e>
            <m:sub>
              <m:r>
                <m:t>3</m:t>
              </m:r>
            </m:sub>
          </m:sSub>
          <m:r>
            <m:rPr>
              <m:sty m:val="p"/>
            </m:rPr>
            <m:t>)</m:t>
          </m:r>
          <m:r>
            <m:rPr>
              <m:sty m:val="p"/>
            </m:rPr>
            <m:t>,</m:t>
          </m:r>
          <m:r>
            <m:t>  </m:t>
          </m:r>
          <m:sSub>
            <m:e>
              <m:r>
                <m:t>Z</m:t>
              </m:r>
            </m:e>
            <m:sub>
              <m:r>
                <m:t>i</m:t>
              </m:r>
              <m:r>
                <m:t>j</m:t>
              </m:r>
            </m:sub>
          </m:sSub>
          <m:r>
            <m:rPr>
              <m:sty m:val="p"/>
            </m:rPr>
            <m:t>=</m:t>
          </m:r>
          <m:f>
            <m:fPr>
              <m:type m:val="bar"/>
            </m:fPr>
            <m:num>
              <m:sSubSup>
                <m:e>
                  <m:r>
                    <m:t>λ</m:t>
                  </m:r>
                </m:e>
                <m:sub>
                  <m:r>
                    <m:t>j</m:t>
                  </m:r>
                </m:sub>
                <m:sup>
                  <m:r>
                    <m:t>T</m:t>
                  </m:r>
                </m:sup>
              </m:sSubSup>
              <m:sSub>
                <m:e>
                  <m:r>
                    <m:t>H</m:t>
                  </m:r>
                </m:e>
                <m:sub>
                  <m:r>
                    <m:t>i</m:t>
                  </m:r>
                </m:sub>
              </m:sSub>
              <m:r>
                <m:rPr>
                  <m:sty m:val="p"/>
                </m:rPr>
                <m:t>+</m:t>
              </m:r>
              <m:sSub>
                <m:e>
                  <m:r>
                    <m:t>ϵ</m:t>
                  </m:r>
                </m:e>
                <m:sub>
                  <m:r>
                    <m:t>i</m:t>
                  </m:r>
                  <m:r>
                    <m:t>j</m:t>
                  </m:r>
                </m:sub>
              </m:sSub>
            </m:num>
            <m:den>
              <m:rad>
                <m:radPr>
                  <m:degHide m:val="on"/>
                </m:radPr>
                <m:deg/>
                <m:e>
                  <m:r>
                    <m:t>1</m:t>
                  </m:r>
                  <m:r>
                    <m:rPr>
                      <m:sty m:val="p"/>
                    </m:rPr>
                    <m:t>+</m:t>
                  </m:r>
                  <m:r>
                    <m:rPr>
                      <m:sty m:val="p"/>
                    </m:rPr>
                    <m:t>∥</m:t>
                  </m:r>
                  <m:sSub>
                    <m:e>
                      <m:r>
                        <m:t>λ</m:t>
                      </m:r>
                    </m:e>
                    <m:sub>
                      <m:r>
                        <m:t>j</m:t>
                      </m:r>
                    </m:sub>
                  </m:sSub>
                  <m:sSup>
                    <m:e>
                      <m:r>
                        <m:rPr>
                          <m:sty m:val="p"/>
                        </m:rPr>
                        <m:t>∥</m:t>
                      </m:r>
                    </m:e>
                    <m:sup>
                      <m:r>
                        <m:t>2</m:t>
                      </m:r>
                    </m:sup>
                  </m:sSup>
                </m:e>
              </m:rad>
            </m:den>
          </m:f>
          <m:r>
            <m:rPr>
              <m:sty m:val="p"/>
            </m:rPr>
            <m:t>,</m:t>
          </m:r>
          <m:r>
            <m:t>  </m:t>
          </m:r>
          <m:sSub>
            <m:e>
              <m:r>
                <m:t>ϵ</m:t>
              </m:r>
            </m:e>
            <m:sub>
              <m:r>
                <m:t>i</m:t>
              </m:r>
              <m:r>
                <m:t>j</m:t>
              </m:r>
            </m:sub>
          </m:sSub>
          <m:r>
            <m:rPr>
              <m:sty m:val="p"/>
            </m:rPr>
            <m:t>∼</m:t>
          </m:r>
          <m:r>
            <m:t>N</m:t>
          </m:r>
          <m:r>
            <m:rPr>
              <m:sty m:val="p"/>
            </m:rPr>
            <m:t>(</m:t>
          </m:r>
          <m:r>
            <m:t>0</m:t>
          </m:r>
          <m:r>
            <m:rPr>
              <m:sty m:val="p"/>
            </m:rPr>
            <m:t>,</m:t>
          </m:r>
          <m:r>
            <m:t>1</m:t>
          </m:r>
          <m:r>
            <m:rPr>
              <m:sty m:val="p"/>
            </m:rPr>
            <m:t>)</m:t>
          </m:r>
          <m:r>
            <m:rPr>
              <m:sty m:val="p"/>
            </m:rPr>
            <m:t>.</m:t>
          </m:r>
        </m:oMath>
      </m:oMathPara>
    </w:p>
    <w:p>
      <w:pPr>
        <w:pStyle w:val="FirstParagraph"/>
      </w:pPr>
      <w:r>
        <w:t xml:space="preserve">The first two loadings alternated across features, with selected opposing signs. The weaker third loading was 0.25 throughout. Under the regular mechanism, RNA and protein were affine Gaussian measurements. Under the skewed mechanism, RNA counts followed negative-binomial margins with dispersion parameter 8 and means spanning approximately 20–400 before library scaling. Library sizes were lognormal around 20 million. RNA was represented by log2(CPM+1), and lognormal protein abundance by its log2 value. This reduced panel is not a whole-transcriptome count matrix; its known simulated library size is used rather than estimating a library size by summing the retained genes.</w:t>
      </w:r>
    </w:p>
    <w:p>
      <w:pPr>
        <w:pStyle w:val="BodyText"/>
      </w:pPr>
      <w:r>
        <w:t xml:space="preserve">Mixed observations were generated by the quantile construction</w:t>
      </w:r>
      <w:r>
        <w:t xml:space="preserve"> </w:t>
      </w:r>
      <m:oMath>
        <m:sSub>
          <m:e>
            <m:r>
              <m:t>Y</m:t>
            </m:r>
          </m:e>
          <m:sub>
            <m:r>
              <m:t>i</m:t>
            </m:r>
            <m:r>
              <m:t>j</m:t>
            </m:r>
          </m:sub>
        </m:sSub>
        <m:r>
          <m:rPr>
            <m:sty m:val="p"/>
          </m:rPr>
          <m:t>=</m:t>
        </m:r>
        <m:sSubSup>
          <m:e>
            <m:r>
              <m:t>F</m:t>
            </m:r>
          </m:e>
          <m:sub>
            <m:r>
              <m:t>j</m:t>
            </m:r>
          </m:sub>
          <m:sup>
            <m:r>
              <m:rPr>
                <m:sty m:val="p"/>
              </m:rPr>
              <m:t>−</m:t>
            </m:r>
            <m:r>
              <m:t>1</m:t>
            </m:r>
          </m:sup>
        </m:sSubSup>
        <m:r>
          <m:rPr>
            <m:sty m:val="p"/>
          </m:rPr>
          <m:t>(</m:t>
        </m:r>
        <m:sSub>
          <m:e>
            <m:r>
              <m:t>U</m:t>
            </m:r>
          </m:e>
          <m:sub>
            <m:r>
              <m:t>i</m:t>
            </m:r>
            <m:r>
              <m:t>j</m:t>
            </m:r>
          </m:sub>
        </m:sSub>
        <m:r>
          <m:rPr>
            <m:sty m:val="p"/>
          </m:rPr>
          <m:t>)</m:t>
        </m:r>
      </m:oMath>
      <w:r>
        <w:t xml:space="preserve">, with</w:t>
      </w:r>
      <w:r>
        <w:t xml:space="preserve"> </w:t>
      </w:r>
      <m:oMath>
        <m:sSub>
          <m:e>
            <m:r>
              <m:t>U</m:t>
            </m:r>
          </m:e>
          <m:sub>
            <m:r>
              <m:t>i</m:t>
            </m:r>
            <m:r>
              <m:t>j</m:t>
            </m:r>
          </m:sub>
        </m:sSub>
        <m:r>
          <m:rPr>
            <m:sty m:val="p"/>
          </m:rPr>
          <m:t>=</m:t>
        </m:r>
        <m:r>
          <m:rPr>
            <m:sty m:val="p"/>
          </m:rPr>
          <m:t>Φ</m:t>
        </m:r>
        <m:r>
          <m:rPr>
            <m:sty m:val="p"/>
          </m:rPr>
          <m:t>(</m:t>
        </m:r>
        <m:sSub>
          <m:e>
            <m:r>
              <m:t>Z</m:t>
            </m:r>
          </m:e>
          <m:sub>
            <m:r>
              <m:t>i</m:t>
            </m:r>
            <m:r>
              <m:t>j</m:t>
            </m:r>
          </m:sub>
        </m:sSub>
        <m:r>
          <m:rPr>
            <m:sty m:val="p"/>
          </m:rPr>
          <m:t>)</m:t>
        </m:r>
      </m:oMath>
      <w:r>
        <w:t xml:space="preserve"> </w:t>
      </w:r>
      <w:r>
        <w:t xml:space="preserve">under Gaussian dependence and the appropriate t-distribution CDF under the heavy-tail mechanism. For an RNA count with mean</w:t>
      </w:r>
      <w:r>
        <w:t xml:space="preserve"> </w:t>
      </w:r>
      <m:oMath>
        <m:r>
          <m:t>μ</m:t>
        </m:r>
      </m:oMath>
      <w:r>
        <w:t xml:space="preserve">, the specified negative-binomial variance was</w:t>
      </w:r>
      <w:r>
        <w:t xml:space="preserve"> </w:t>
      </w:r>
      <m:oMath>
        <m:r>
          <m:t>μ</m:t>
        </m:r>
        <m:r>
          <m:rPr>
            <m:sty m:val="p"/>
          </m:rPr>
          <m:t>+</m:t>
        </m:r>
        <m:sSup>
          <m:e>
            <m:r>
              <m:t>μ</m:t>
            </m:r>
          </m:e>
          <m:sup>
            <m:r>
              <m:t>2</m:t>
            </m:r>
          </m:sup>
        </m:sSup>
        <m:r>
          <m:rPr>
            <m:sty m:val="p"/>
          </m:rPr>
          <m:t>/</m:t>
        </m:r>
        <m:r>
          <m:t>8</m:t>
        </m:r>
      </m:oMath>
      <w:r>
        <w:t xml:space="preserve">.</w:t>
      </w:r>
    </w:p>
    <w:p>
      <w:pPr>
        <w:pStyle w:val="BodyText"/>
      </w:pPr>
      <w:r>
        <w:t xml:space="preserve">The technical mechanism added blood-cell composition, country and batch shifts to RNA and protein. Five unnamed synthetic countries had proportions 0.35, 0.25, 0.20, 0.12 and 0.08. They represent imbalanced sampling strata, not named populations or ancestry categories. The missing-protein mechanism additionally removed values with an abundance-dependent probability:</w:t>
      </w:r>
    </w:p>
    <w:p>
      <w:pPr>
        <w:pStyle w:val="BodyText"/>
      </w:pPr>
      <m:oMathPara>
        <m:oMathParaPr>
          <m:jc m:val="center"/>
        </m:oMathParaPr>
        <m:oMath>
          <m:r>
            <m:t>P</m:t>
          </m:r>
          <m:r>
            <m:rPr>
              <m:sty m:val="p"/>
            </m:rPr>
            <m:t>(</m:t>
          </m:r>
          <m:sSub>
            <m:e>
              <m:r>
                <m:t>M</m:t>
              </m:r>
            </m:e>
            <m:sub>
              <m:r>
                <m:t>i</m:t>
              </m:r>
              <m:r>
                <m:t>j</m:t>
              </m:r>
            </m:sub>
          </m:sSub>
          <m:r>
            <m:rPr>
              <m:sty m:val="p"/>
            </m:rPr>
            <m:t>=</m:t>
          </m:r>
          <m:r>
            <m:t>1</m:t>
          </m:r>
          <m:r>
            <m:rPr>
              <m:sty m:val="p"/>
            </m:rPr>
            <m:t>∣</m:t>
          </m:r>
          <m:sSub>
            <m:e>
              <m:r>
                <m:t>Y</m:t>
              </m:r>
            </m:e>
            <m:sub>
              <m:r>
                <m:t>i</m:t>
              </m:r>
              <m:r>
                <m:t>j</m:t>
              </m:r>
            </m:sub>
          </m:sSub>
          <m:r>
            <m:rPr>
              <m:sty m:val="p"/>
            </m:rPr>
            <m:t>)</m:t>
          </m:r>
          <m:r>
            <m:rPr>
              <m:sty m:val="p"/>
            </m:rPr>
            <m:t>=</m:t>
          </m:r>
          <m:r>
            <m:rPr>
              <m:sty m:val="p"/>
            </m:rPr>
            <m:t>expit</m:t>
          </m:r>
          <m:r>
            <m:rPr>
              <m:sty m:val="p"/>
            </m:rPr>
            <m:t>{</m:t>
          </m:r>
          <m:r>
            <m:rPr>
              <m:sty m:val="p"/>
            </m:rPr>
            <m:t>−</m:t>
          </m:r>
          <m:r>
            <m:t>2</m:t>
          </m:r>
          <m:r>
            <m:rPr>
              <m:sty m:val="p"/>
            </m:rPr>
            <m:t>−</m:t>
          </m:r>
          <m:r>
            <m:t>0.8</m:t>
          </m:r>
          <m:r>
            <m:rPr>
              <m:sty m:val="p"/>
            </m:rPr>
            <m:t>(</m:t>
          </m:r>
          <m:sSub>
            <m:e>
              <m:r>
                <m:t>Y</m:t>
              </m:r>
            </m:e>
            <m:sub>
              <m:r>
                <m:t>i</m:t>
              </m:r>
              <m:r>
                <m:t>j</m:t>
              </m:r>
            </m:sub>
          </m:sSub>
          <m:r>
            <m:rPr>
              <m:sty m:val="p"/>
            </m:rPr>
            <m:t>−</m:t>
          </m:r>
          <m:sSub>
            <m:e>
              <m:acc>
                <m:accPr>
                  <m:chr m:val="‾"/>
                </m:accPr>
                <m:e>
                  <m:r>
                    <m:t>Y</m:t>
                  </m:r>
                </m:e>
              </m:acc>
            </m:e>
            <m:sub>
              <m:r>
                <m:t>j</m:t>
              </m:r>
            </m:sub>
          </m:sSub>
          <m:r>
            <m:rPr>
              <m:sty m:val="p"/>
            </m:rPr>
            <m:t>)</m:t>
          </m:r>
          <m:r>
            <m:rPr>
              <m:sty m:val="p"/>
            </m:rPr>
            <m:t>}</m:t>
          </m:r>
          <m:r>
            <m:rPr>
              <m:sty m:val="p"/>
            </m:rPr>
            <m:t>.</m:t>
          </m:r>
        </m:oMath>
      </m:oMathPara>
    </w:p>
    <w:p>
      <w:pPr>
        <w:pStyle w:val="FirstParagraph"/>
      </w:pPr>
      <w:r>
        <w:t xml:space="preserve">Here</w:t>
      </w:r>
      <w:r>
        <w:t xml:space="preserve"> </w:t>
      </w:r>
      <m:oMath>
        <m:r>
          <m:t>M</m:t>
        </m:r>
        <m:r>
          <m:rPr>
            <m:sty m:val="p"/>
          </m:rPr>
          <m:t>=</m:t>
        </m:r>
        <m:r>
          <m:t>1</m:t>
        </m:r>
      </m:oMath>
      <w:r>
        <w:t xml:space="preserve"> </w:t>
      </w:r>
      <w:r>
        <w:t xml:space="preserve">indicates a missing measurement. This is non-ignorable missingness; neither fitted integration model explicitly models its detection process. The heavy-tail mechanism used a common chi-square scale mixture with four degrees of freedom, creating a multivariate t dependence structure that misspecifies both fitted Gaussian dependence models.</w:t>
      </w:r>
    </w:p>
    <w:p>
      <w:pPr>
        <w:pStyle w:val="BodyText"/>
      </w:pPr>
      <w:r>
        <w:t xml:space="preserve">For five mechanisms, the simulated subtype followed</w:t>
      </w:r>
    </w:p>
    <w:p>
      <w:pPr>
        <w:pStyle w:val="BodyText"/>
      </w:pPr>
      <m:oMathPara>
        <m:oMathParaPr>
          <m:jc m:val="center"/>
        </m:oMathParaPr>
        <m:oMath>
          <m:r>
            <m:rPr>
              <m:sty m:val="p"/>
            </m:rPr>
            <m:t>logit</m:t>
          </m:r>
          <m:r>
            <m:t>P</m:t>
          </m:r>
          <m:r>
            <m:rPr>
              <m:sty m:val="p"/>
            </m:rPr>
            <m:t>(</m:t>
          </m:r>
          <m:sSub>
            <m:e>
              <m:r>
                <m:t>T</m:t>
              </m:r>
            </m:e>
            <m:sub>
              <m:r>
                <m:t>i</m:t>
              </m:r>
            </m:sub>
          </m:sSub>
          <m:r>
            <m:rPr>
              <m:sty m:val="p"/>
            </m:rPr>
            <m:t>=</m:t>
          </m:r>
          <m:r>
            <m:t>1</m:t>
          </m:r>
          <m:r>
            <m:rPr>
              <m:sty m:val="p"/>
            </m:rPr>
            <m:t>)</m:t>
          </m:r>
          <m:r>
            <m:rPr>
              <m:sty m:val="p"/>
            </m:rPr>
            <m:t>=</m:t>
          </m:r>
          <m:r>
            <m:rPr>
              <m:sty m:val="p"/>
            </m:rPr>
            <m:t>−</m:t>
          </m:r>
          <m:r>
            <m:t>1</m:t>
          </m:r>
          <m:r>
            <m:rPr>
              <m:sty m:val="p"/>
            </m:rPr>
            <m:t>+</m:t>
          </m:r>
          <m:r>
            <m:t>0.9</m:t>
          </m:r>
          <m:sSub>
            <m:e>
              <m:r>
                <m:t>H</m:t>
              </m:r>
            </m:e>
            <m:sub>
              <m:r>
                <m:t>i</m:t>
              </m:r>
              <m:r>
                <m:t>1</m:t>
              </m:r>
            </m:sub>
          </m:sSub>
          <m:r>
            <m:rPr>
              <m:sty m:val="p"/>
            </m:rPr>
            <m:t>+</m:t>
          </m:r>
          <m:r>
            <m:t>0.5</m:t>
          </m:r>
          <m:sSub>
            <m:e>
              <m:r>
                <m:t>H</m:t>
              </m:r>
            </m:e>
            <m:sub>
              <m:r>
                <m:t>i</m:t>
              </m:r>
              <m:r>
                <m:t>2</m:t>
              </m:r>
            </m:sub>
          </m:sSub>
          <m:r>
            <m:rPr>
              <m:sty m:val="p"/>
            </m:rPr>
            <m:t>+</m:t>
          </m:r>
          <m:r>
            <m:t>0.15</m:t>
          </m:r>
          <m:sSub>
            <m:e>
              <m:r>
                <m:t>A</m:t>
              </m:r>
            </m:e>
            <m:sub>
              <m:r>
                <m:t>i</m:t>
              </m:r>
            </m:sub>
          </m:sSub>
          <m:r>
            <m:rPr>
              <m:sty m:val="p"/>
            </m:rPr>
            <m:t>+</m:t>
          </m:r>
          <m:r>
            <m:t>0.12</m:t>
          </m:r>
          <m:r>
            <m:rPr>
              <m:sty m:val="p"/>
            </m:rPr>
            <m:t>(</m:t>
          </m:r>
          <m:sSub>
            <m:e>
              <m:r>
                <m:t>C</m:t>
              </m:r>
            </m:e>
            <m:sub>
              <m:r>
                <m:t>i</m:t>
              </m:r>
            </m:sub>
          </m:sSub>
          <m:r>
            <m:rPr>
              <m:sty m:val="p"/>
            </m:rPr>
            <m:t>−</m:t>
          </m:r>
          <m:r>
            <m:t>1.4</m:t>
          </m:r>
          <m:r>
            <m:rPr>
              <m:sty m:val="p"/>
            </m:rPr>
            <m:t>)</m:t>
          </m:r>
          <m:r>
            <m:rPr>
              <m:sty m:val="p"/>
            </m:rPr>
            <m:t>.</m:t>
          </m:r>
        </m:oMath>
      </m:oMathPara>
    </w:p>
    <w:p>
      <w:pPr>
        <w:pStyle w:val="FirstParagraph"/>
      </w:pPr>
      <w:r>
        <w:t xml:space="preserve">In the dependence-only setting,</w:t>
      </w:r>
      <w:r>
        <w:t xml:space="preserve"> </w:t>
      </w:r>
      <m:oMath>
        <m:sSub>
          <m:e>
            <m:r>
              <m:t>T</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0.30</m:t>
        </m:r>
        <m:r>
          <m:rPr>
            <m:sty m:val="p"/>
          </m:rPr>
          <m:t>)</m:t>
        </m:r>
      </m:oMath>
      <w:r>
        <w:t xml:space="preserve"> </w:t>
      </w:r>
      <w:r>
        <w:t xml:space="preserve">independently of the backbone factors. One prespecified RNA/protein latent pair instead had correlation 0 in non-TNBC and 0.65 in TNBC. Its marginal standard-normal distributions were unchanged. The resulting labels are synthetic subtype proxies, not a mechanistic model of breast cancer.</w:t>
      </w:r>
    </w:p>
    <w:bookmarkEnd w:id="13"/>
    <w:bookmarkStart w:id="14" w:name="gaussian-copula-factor-integration"/>
    <w:p>
      <w:pPr>
        <w:pStyle w:val="Heading3"/>
        <w:keepNext/>
      </w:pPr>
      <w:r>
        <w:t xml:space="preserve">Gaussian copula factor integration</w:t>
      </w:r>
    </w:p>
    <w:p>
      <w:pPr>
        <w:pStyle w:val="FirstParagraph"/>
      </w:pPr>
      <w:r>
        <w:t xml:space="preserve">For continuous margins, a copula represents a joint distribution as</w:t>
      </w:r>
    </w:p>
    <w:p>
      <w:pPr>
        <w:pStyle w:val="BodyText"/>
      </w:pPr>
      <m:oMathPara>
        <m:oMathParaPr>
          <m:jc m:val="center"/>
        </m:oMathParaPr>
        <m:oMath>
          <m:r>
            <m:t>F</m:t>
          </m:r>
          <m:r>
            <m:rPr>
              <m:sty m:val="p"/>
            </m:rPr>
            <m:t>(</m:t>
          </m:r>
          <m:sSub>
            <m:e>
              <m:r>
                <m:t>y</m:t>
              </m:r>
            </m:e>
            <m:sub>
              <m:r>
                <m:t>1</m:t>
              </m:r>
            </m:sub>
          </m:sSub>
          <m:r>
            <m:rPr>
              <m:sty m:val="p"/>
            </m:rPr>
            <m:t>,</m:t>
          </m:r>
          <m:r>
            <m:rPr>
              <m:sty m:val="p"/>
            </m:rPr>
            <m:t>…</m:t>
          </m:r>
          <m:r>
            <m:rPr>
              <m:sty m:val="p"/>
            </m:rPr>
            <m:t>,</m:t>
          </m:r>
          <m:sSub>
            <m:e>
              <m:r>
                <m:t>y</m:t>
              </m:r>
            </m:e>
            <m:sub>
              <m:r>
                <m:t>p</m:t>
              </m:r>
            </m:sub>
          </m:sSub>
          <m:r>
            <m:rPr>
              <m:sty m:val="p"/>
            </m:rPr>
            <m:t>)</m:t>
          </m:r>
          <m:r>
            <m:rPr>
              <m:sty m:val="p"/>
            </m:rPr>
            <m:t>=</m:t>
          </m:r>
          <m:sSub>
            <m:e>
              <m:r>
                <m:t>C</m:t>
              </m:r>
            </m:e>
            <m:sub>
              <m:r>
                <m:t>R</m:t>
              </m:r>
            </m:sub>
          </m:sSub>
          <m:r>
            <m:rPr>
              <m:sty m:val="p"/>
            </m:rPr>
            <m:t>{</m:t>
          </m:r>
          <m:sSub>
            <m:e>
              <m:r>
                <m:t>F</m:t>
              </m:r>
            </m:e>
            <m:sub>
              <m:r>
                <m:t>1</m:t>
              </m:r>
            </m:sub>
          </m:sSub>
          <m:r>
            <m:rPr>
              <m:sty m:val="p"/>
            </m:rPr>
            <m:t>(</m:t>
          </m:r>
          <m:sSub>
            <m:e>
              <m:r>
                <m:t>y</m:t>
              </m:r>
            </m:e>
            <m:sub>
              <m:r>
                <m:t>1</m:t>
              </m:r>
            </m:sub>
          </m:sSub>
          <m:r>
            <m:rPr>
              <m:sty m:val="p"/>
            </m:rPr>
            <m:t>)</m:t>
          </m:r>
          <m:r>
            <m:rPr>
              <m:sty m:val="p"/>
            </m:rPr>
            <m:t>,</m:t>
          </m:r>
          <m:r>
            <m:rPr>
              <m:sty m:val="p"/>
            </m:rPr>
            <m:t>…</m:t>
          </m:r>
          <m:r>
            <m:rPr>
              <m:sty m:val="p"/>
            </m:rPr>
            <m:t>,</m:t>
          </m:r>
          <m:sSub>
            <m:e>
              <m:r>
                <m:t>F</m:t>
              </m:r>
            </m:e>
            <m:sub>
              <m:r>
                <m:t>p</m:t>
              </m:r>
            </m:sub>
          </m:sSub>
          <m:r>
            <m:rPr>
              <m:sty m:val="p"/>
            </m:rPr>
            <m:t>(</m:t>
          </m:r>
          <m:sSub>
            <m:e>
              <m:r>
                <m:t>y</m:t>
              </m:r>
            </m:e>
            <m:sub>
              <m:r>
                <m:t>p</m:t>
              </m:r>
            </m:sub>
          </m:sSub>
          <m:r>
            <m:rPr>
              <m:sty m:val="p"/>
            </m:rPr>
            <m:t>)</m:t>
          </m:r>
          <m:r>
            <m:rPr>
              <m:sty m:val="p"/>
            </m:rPr>
            <m:t>}</m:t>
          </m:r>
          <m:r>
            <m:rPr>
              <m:sty m:val="p"/>
            </m:rPr>
            <m:t>,</m:t>
          </m:r>
          <m:r>
            <m:t>  </m:t>
          </m:r>
          <m:sSub>
            <m:e>
              <m:r>
                <m:t>C</m:t>
              </m:r>
            </m:e>
            <m:sub>
              <m:r>
                <m:t>R</m:t>
              </m:r>
            </m:sub>
          </m:sSub>
          <m:r>
            <m:rPr>
              <m:sty m:val="p"/>
            </m:rPr>
            <m:t>(</m:t>
          </m:r>
          <m:r>
            <m:t>u</m:t>
          </m:r>
          <m:r>
            <m:rPr>
              <m:sty m:val="p"/>
            </m:rPr>
            <m:t>)</m:t>
          </m:r>
          <m:r>
            <m:rPr>
              <m:sty m:val="p"/>
            </m:rPr>
            <m:t>=</m:t>
          </m:r>
          <m:sSub>
            <m:e>
              <m:r>
                <m:rPr>
                  <m:sty m:val="p"/>
                </m:rPr>
                <m:t>Φ</m:t>
              </m:r>
            </m:e>
            <m:sub>
              <m:r>
                <m:t>p</m:t>
              </m:r>
            </m:sub>
          </m:sSub>
          <m:r>
            <m:rPr>
              <m:sty m:val="p"/>
            </m:rPr>
            <m:t>{</m:t>
          </m:r>
          <m:sSup>
            <m:e>
              <m:r>
                <m:rPr>
                  <m:sty m:val="p"/>
                </m:rPr>
                <m:t>Φ</m:t>
              </m:r>
            </m:e>
            <m:sup>
              <m:r>
                <m:rPr>
                  <m:sty m:val="p"/>
                </m:rPr>
                <m:t>−</m:t>
              </m:r>
              <m:r>
                <m:t>1</m:t>
              </m:r>
            </m:sup>
          </m:sSup>
          <m:r>
            <m:rPr>
              <m:sty m:val="p"/>
            </m:rPr>
            <m:t>(</m:t>
          </m:r>
          <m:sSub>
            <m:e>
              <m:r>
                <m:t>u</m:t>
              </m:r>
            </m:e>
            <m:sub>
              <m:r>
                <m:t>1</m:t>
              </m:r>
            </m:sub>
          </m:sSub>
          <m:r>
            <m:rPr>
              <m:sty m:val="p"/>
            </m:rPr>
            <m:t>)</m:t>
          </m:r>
          <m:r>
            <m:rPr>
              <m:sty m:val="p"/>
            </m:rPr>
            <m:t>,</m:t>
          </m:r>
          <m:r>
            <m:rPr>
              <m:sty m:val="p"/>
            </m:rPr>
            <m:t>…</m:t>
          </m:r>
          <m:r>
            <m:rPr>
              <m:sty m:val="p"/>
            </m:rPr>
            <m:t>,</m:t>
          </m:r>
          <m:sSup>
            <m:e>
              <m:r>
                <m:rPr>
                  <m:sty m:val="p"/>
                </m:rPr>
                <m:t>Φ</m:t>
              </m:r>
            </m:e>
            <m:sup>
              <m:r>
                <m:rPr>
                  <m:sty m:val="p"/>
                </m:rPr>
                <m:t>−</m:t>
              </m:r>
              <m:r>
                <m:t>1</m:t>
              </m:r>
            </m:sup>
          </m:sSup>
          <m:r>
            <m:rPr>
              <m:sty m:val="p"/>
            </m:rPr>
            <m:t>(</m:t>
          </m:r>
          <m:sSub>
            <m:e>
              <m:r>
                <m:t>u</m:t>
              </m:r>
            </m:e>
            <m:sub>
              <m:r>
                <m:t>p</m:t>
              </m:r>
            </m:sub>
          </m:sSub>
          <m:r>
            <m:rPr>
              <m:sty m:val="p"/>
            </m:rPr>
            <m:t>)</m:t>
          </m:r>
          <m:r>
            <m:rPr>
              <m:sty m:val="p"/>
            </m:rPr>
            <m:t>;</m:t>
          </m:r>
          <m:r>
            <m:t>R</m:t>
          </m:r>
          <m:r>
            <m:rPr>
              <m:sty m:val="p"/>
            </m:rPr>
            <m:t>}</m:t>
          </m:r>
          <m:r>
            <m:rPr>
              <m:sty m:val="p"/>
            </m:rPr>
            <m:t>.</m:t>
          </m:r>
        </m:oMath>
      </m:oMathPara>
    </w:p>
    <w:p>
      <w:pPr>
        <w:pStyle w:val="FirstParagraph"/>
      </w:pPr>
      <w:r>
        <w:t xml:space="preserve">Discrete margins do not identify a unique unrestricted copula. We imposed a latent Gaussian factor model and used the extended rank likelihood, preserving order constraints rather than treating tied genotypes or binary alterations as continuous ranks during fitting [2,3]:</w:t>
      </w:r>
    </w:p>
    <w:p>
      <w:pPr>
        <w:pStyle w:val="BodyText"/>
      </w:pPr>
      <m:oMathPara>
        <m:oMathParaPr>
          <m:jc m:val="center"/>
        </m:oMathParaPr>
        <m:oMath>
          <m:sSub>
            <m:e>
              <m:r>
                <m:t>Z</m:t>
              </m:r>
            </m:e>
            <m:sub>
              <m:r>
                <m:t>i</m:t>
              </m:r>
            </m:sub>
          </m:sSub>
          <m:r>
            <m:rPr>
              <m:sty m:val="p"/>
            </m:rPr>
            <m:t>=</m:t>
          </m:r>
          <m:r>
            <m:rPr>
              <m:sty m:val="p"/>
            </m:rPr>
            <m:t>Λ</m:t>
          </m:r>
          <m:sSub>
            <m:e>
              <m:r>
                <m:t>H</m:t>
              </m:r>
            </m:e>
            <m:sub>
              <m:r>
                <m:t>i</m:t>
              </m:r>
            </m:sub>
          </m:sSub>
          <m:r>
            <m:rPr>
              <m:sty m:val="p"/>
            </m:rPr>
            <m:t>+</m:t>
          </m:r>
          <m:sSub>
            <m:e>
              <m:r>
                <m:t>e</m:t>
              </m:r>
            </m:e>
            <m:sub>
              <m:r>
                <m:t>i</m:t>
              </m:r>
            </m:sub>
          </m:sSub>
          <m:r>
            <m:rPr>
              <m:sty m:val="p"/>
            </m:rPr>
            <m:t>,</m:t>
          </m:r>
          <m:r>
            <m:t>  </m:t>
          </m:r>
          <m:sSub>
            <m:e>
              <m:r>
                <m:t>e</m:t>
              </m:r>
            </m:e>
            <m:sub>
              <m:r>
                <m:t>i</m:t>
              </m:r>
            </m:sub>
          </m:sSub>
          <m:r>
            <m:rPr>
              <m:sty m:val="p"/>
            </m:rPr>
            <m:t>∼</m:t>
          </m:r>
          <m:sSub>
            <m:e>
              <m:r>
                <m:t>N</m:t>
              </m:r>
            </m:e>
            <m:sub>
              <m:r>
                <m:t>p</m:t>
              </m:r>
            </m:sub>
          </m:sSub>
          <m:r>
            <m:rPr>
              <m:sty m:val="p"/>
            </m:rPr>
            <m:t>(</m:t>
          </m:r>
          <m:r>
            <m:t>0</m:t>
          </m:r>
          <m:r>
            <m:rPr>
              <m:sty m:val="p"/>
            </m:rPr>
            <m:t>,</m:t>
          </m:r>
          <m:r>
            <m:rPr>
              <m:sty m:val="p"/>
            </m:rPr>
            <m:t>Ψ</m:t>
          </m:r>
          <m:r>
            <m:rPr>
              <m:sty m:val="p"/>
            </m:rPr>
            <m:t>)</m:t>
          </m:r>
          <m:r>
            <m:rPr>
              <m:sty m:val="p"/>
            </m:rPr>
            <m:t>,</m:t>
          </m:r>
          <m:r>
            <m:t>  </m:t>
          </m:r>
          <m:r>
            <m:rPr>
              <m:scr m:val="script"/>
              <m:sty m:val="p"/>
            </m:rPr>
            <m:t>D</m:t>
          </m:r>
          <m:r>
            <m:rPr>
              <m:sty m:val="p"/>
            </m:rPr>
            <m:t>(</m:t>
          </m:r>
          <m:r>
            <m:t>Y</m:t>
          </m:r>
          <m:r>
            <m:rPr>
              <m:sty m:val="p"/>
            </m:rPr>
            <m:t>)</m:t>
          </m:r>
          <m:r>
            <m:rPr>
              <m:sty m:val="p"/>
            </m:rPr>
            <m:t>=</m:t>
          </m:r>
          <m:r>
            <m:rPr>
              <m:sty m:val="p"/>
            </m:rPr>
            <m:t>{</m:t>
          </m:r>
          <m:r>
            <m:t>Z</m:t>
          </m:r>
          <m:r>
            <m:rPr>
              <m:sty m:val="p"/>
            </m:rPr>
            <m:t>:</m:t>
          </m:r>
          <m:sSub>
            <m:e>
              <m:r>
                <m:t>Y</m:t>
              </m:r>
            </m:e>
            <m:sub>
              <m:r>
                <m:t>i</m:t>
              </m:r>
              <m:r>
                <m:t>j</m:t>
              </m:r>
            </m:sub>
          </m:sSub>
          <m:r>
            <m:rPr>
              <m:sty m:val="p"/>
            </m:rPr>
            <m:t>&lt;</m:t>
          </m:r>
          <m:sSub>
            <m:e>
              <m:r>
                <m:t>Y</m:t>
              </m:r>
            </m:e>
            <m:sub>
              <m:sSup>
                <m:e>
                  <m:r>
                    <m:t>i</m:t>
                  </m:r>
                </m:e>
                <m:sup>
                  <m:r>
                    <m:rPr>
                      <m:sty m:val="p"/>
                    </m:rPr>
                    <m:t>′</m:t>
                  </m:r>
                </m:sup>
              </m:sSup>
              <m:r>
                <m:t>j</m:t>
              </m:r>
            </m:sub>
          </m:sSub>
          <m:r>
            <m:rPr>
              <m:sty m:val="p"/>
            </m:rPr>
            <m:t>⇒</m:t>
          </m:r>
          <m:sSub>
            <m:e>
              <m:r>
                <m:t>Z</m:t>
              </m:r>
            </m:e>
            <m:sub>
              <m:r>
                <m:t>i</m:t>
              </m:r>
              <m:r>
                <m:t>j</m:t>
              </m:r>
            </m:sub>
          </m:sSub>
          <m:r>
            <m:rPr>
              <m:sty m:val="p"/>
            </m:rPr>
            <m:t>&lt;</m:t>
          </m:r>
          <m:sSub>
            <m:e>
              <m:r>
                <m:t>Z</m:t>
              </m:r>
            </m:e>
            <m:sub>
              <m:sSup>
                <m:e>
                  <m:r>
                    <m:t>i</m:t>
                  </m:r>
                </m:e>
                <m:sup>
                  <m:r>
                    <m:rPr>
                      <m:sty m:val="p"/>
                    </m:rPr>
                    <m:t>′</m:t>
                  </m:r>
                </m:sup>
              </m:sSup>
              <m:r>
                <m:t>j</m:t>
              </m:r>
            </m:sub>
          </m:sSub>
          <m:r>
            <m:rPr>
              <m:sty m:val="p"/>
            </m:rPr>
            <m:t>}</m:t>
          </m:r>
          <m:r>
            <m:rPr>
              <m:sty m:val="p"/>
            </m:rPr>
            <m:t>.</m:t>
          </m:r>
        </m:oMath>
      </m:oMathPara>
    </w:p>
    <w:p>
      <w:pPr>
        <w:pStyle w:val="FirstParagraph"/>
      </w:pPr>
      <w:r>
        <w:t xml:space="preserve">Loadings had independent</w:t>
      </w:r>
      <w:r>
        <w:t xml:space="preserve"> </w:t>
      </w:r>
      <m:oMath>
        <m:r>
          <m:t>N</m:t>
        </m:r>
        <m:r>
          <m:rPr>
            <m:sty m:val="p"/>
          </m:rPr>
          <m:t>(</m:t>
        </m:r>
        <m:r>
          <m:t>0</m:t>
        </m:r>
        <m:r>
          <m:rPr>
            <m:sty m:val="p"/>
          </m:rPr>
          <m:t>,</m:t>
        </m:r>
        <m:r>
          <m:t>0.5</m:t>
        </m:r>
        <m:r>
          <m:rPr>
            <m:sty m:val="p"/>
          </m:rPr>
          <m:t>)</m:t>
        </m:r>
      </m:oMath>
      <w:r>
        <w:t xml:space="preserve"> </w:t>
      </w:r>
      <w:r>
        <w:t xml:space="preserve">priors, residual variances had inverse-gamma priors with shape 2 and scale 0.5, and factors had standard-normal priors. Proper priors regularise latent scales; reported dependence is the scale-free correlation derived from</w:t>
      </w:r>
      <w:r>
        <w:t xml:space="preserve"> </w:t>
      </w:r>
      <m:oMath>
        <m:r>
          <m:rPr>
            <m:sty m:val="p"/>
          </m:rPr>
          <m:t>Λ</m:t>
        </m:r>
        <m:sSup>
          <m:e>
            <m:r>
              <m:rPr>
                <m:sty m:val="p"/>
              </m:rPr>
              <m:t>Λ</m:t>
            </m:r>
          </m:e>
          <m:sup>
            <m:r>
              <m:t>T</m:t>
            </m:r>
          </m:sup>
        </m:sSup>
        <m:r>
          <m:rPr>
            <m:sty m:val="p"/>
          </m:rPr>
          <m:t>+</m:t>
        </m:r>
        <m:r>
          <m:rPr>
            <m:sty m:val="p"/>
          </m:rPr>
          <m:t>Ψ</m:t>
        </m:r>
      </m:oMath>
      <w:r>
        <w:t xml:space="preserve">. Gibbs updates sampled loadings, factors, residual variances and truncated latent observations. Alternating nonadjacent value groups were updated together to preserve strict order constraints, while observations tied at the same value shared bounds without sharing latent values. Missing observations had unconstrained latent updates.</w:t>
      </w:r>
    </w:p>
    <w:p>
      <w:pPr>
        <w:pStyle w:val="BodyText"/>
      </w:pPr>
      <w:r>
        <w:t xml:space="preserve">Two independent chains each used 600 burn-in iterations and 900 subsequent iterations, retaining every third draw. A maximum split Rhat of at least 1.10 across 16 fixed, rotation-invariant correlation entries triggered a prespecified rerun with three times these lengths. Flags remaining after extension were retained and reported. This limited diagnostic does not establish convergence of every posterior quantity. The implementation is project-specific Python code, not the published bfa software; its validation includes recovery of a known bivariate correlation and explicit checks of rank constraints.</w:t>
      </w:r>
    </w:p>
    <w:p>
      <w:pPr>
        <w:pStyle w:val="BodyText"/>
      </w:pPr>
      <w:r>
        <w:t xml:space="preserve">Prediction used a computationally inexpensive plug-in projection from the posterior mean correlation. Its top three eigenvectors defined a low-rank representation; residual variances were floored at 0.1. Empirical marginal maps were learned on training participants only. Tied categories used midpoint empirical CDF scores at projection, and missing coordinates were omitted. This projection is an approximation and is not exact posterior prediction under the rank likelihood.</w:t>
      </w:r>
    </w:p>
    <w:bookmarkEnd w:id="14"/>
    <w:bookmarkStart w:id="15" w:name="mofa-and-comparison-methods"/>
    <w:p>
      <w:pPr>
        <w:pStyle w:val="Heading3"/>
        <w:keepNext/>
      </w:pPr>
      <w:r>
        <w:t xml:space="preserve">MOFA and comparison methods</w:t>
      </w:r>
    </w:p>
    <w:p>
      <w:pPr>
        <w:pStyle w:val="FirstParagraph"/>
      </w:pPr>
      <w:r>
        <w:t xml:space="preserve">MOFA+ was fitted with the official Python engine, mofapy2 0.7.5 [1,4]. The primary configuration used Gaussian germline dosages, Bernoulli somatic indicators and Gaussian transformed RNA/protein measurements. A sensitivity configuration used Gaussian likelihoods for all standardised views. Both used three factors, automatic relevance determination and spike-and-slab weights, with up to 500 variational iterations and the engine’s medium convergence criterion. Official convergence messages were recorded. Default engine factor selection was constrained to the same initial factor budget as the copula model; the true budget was known by design and is an optimistic simplification.</w:t>
      </w:r>
    </w:p>
    <w:p>
      <w:pPr>
        <w:pStyle w:val="BodyText"/>
      </w:pPr>
      <w:r>
        <w:t xml:space="preserve">For a Gaussian view, the MOFA representation was</w:t>
      </w:r>
      <w:r>
        <w:t xml:space="preserve"> </w:t>
      </w:r>
      <m:oMath>
        <m:sSup>
          <m:e>
            <m:r>
              <m:t>Y</m:t>
            </m:r>
          </m:e>
          <m:sup>
            <m:r>
              <m:rPr>
                <m:sty m:val="p"/>
              </m:rPr>
              <m:t>(</m:t>
            </m:r>
            <m:r>
              <m:t>m</m:t>
            </m:r>
            <m:r>
              <m:rPr>
                <m:sty m:val="p"/>
              </m:rPr>
              <m:t>)</m:t>
            </m:r>
          </m:sup>
        </m:sSup>
        <m:r>
          <m:rPr>
            <m:sty m:val="p"/>
          </m:rPr>
          <m:t>=</m:t>
        </m:r>
        <m:r>
          <m:t>Z</m:t>
        </m:r>
        <m:sSup>
          <m:e>
            <m:r>
              <m:t>W</m:t>
            </m:r>
          </m:e>
          <m:sup>
            <m:r>
              <m:rPr>
                <m:sty m:val="p"/>
              </m:rPr>
              <m:t>(</m:t>
            </m:r>
            <m:r>
              <m:t>m</m:t>
            </m:r>
            <m:r>
              <m:rPr>
                <m:sty m:val="p"/>
              </m:rPr>
              <m:t>)</m:t>
            </m:r>
            <m:r>
              <m:t>T</m:t>
            </m:r>
          </m:sup>
        </m:sSup>
        <m:r>
          <m:rPr>
            <m:sty m:val="p"/>
          </m:rPr>
          <m:t>+</m:t>
        </m:r>
        <m:sSup>
          <m:e>
            <m:r>
              <m:t>E</m:t>
            </m:r>
          </m:e>
          <m:sup>
            <m:r>
              <m:rPr>
                <m:sty m:val="p"/>
              </m:rPr>
              <m:t>(</m:t>
            </m:r>
            <m:r>
              <m:t>m</m:t>
            </m:r>
            <m:r>
              <m:rPr>
                <m:sty m:val="p"/>
              </m:rPr>
              <m:t>)</m:t>
            </m:r>
          </m:sup>
        </m:sSup>
      </m:oMath>
      <w:r>
        <w:t xml:space="preserve">. For the somatic Bernoulli view, the observation probability was</w:t>
      </w:r>
      <w:r>
        <w:t xml:space="preserve"> </w:t>
      </w:r>
      <m:oMath>
        <m:r>
          <m:t>P</m:t>
        </m:r>
        <m:r>
          <m:rPr>
            <m:sty m:val="p"/>
          </m:rPr>
          <m:t>(</m:t>
        </m:r>
        <m:sSubSup>
          <m:e>
            <m:r>
              <m:t>Y</m:t>
            </m:r>
          </m:e>
          <m:sub>
            <m:r>
              <m:t>i</m:t>
            </m:r>
            <m:r>
              <m:t>j</m:t>
            </m:r>
          </m:sub>
          <m:sup>
            <m:r>
              <m:rPr>
                <m:sty m:val="p"/>
              </m:rPr>
              <m:t>(</m:t>
            </m:r>
            <m:r>
              <m:t>m</m:t>
            </m:r>
            <m:r>
              <m:rPr>
                <m:sty m:val="p"/>
              </m:rPr>
              <m:t>)</m:t>
            </m:r>
          </m:sup>
        </m:sSubSup>
        <m:r>
          <m:rPr>
            <m:sty m:val="p"/>
          </m:rPr>
          <m:t>=</m:t>
        </m:r>
        <m:r>
          <m:t>1</m:t>
        </m:r>
        <m:r>
          <m:rPr>
            <m:sty m:val="p"/>
          </m:rPr>
          <m:t>∣</m:t>
        </m:r>
        <m:r>
          <m:t>Z</m:t>
        </m:r>
        <m:r>
          <m:rPr>
            <m:sty m:val="p"/>
          </m:rPr>
          <m:t>,</m:t>
        </m:r>
        <m:r>
          <m:t>W</m:t>
        </m:r>
        <m:r>
          <m:rPr>
            <m:sty m:val="p"/>
          </m:rPr>
          <m:t>)</m:t>
        </m:r>
        <m:r>
          <m:rPr>
            <m:sty m:val="p"/>
          </m:rPr>
          <m:t>=</m:t>
        </m:r>
        <m:r>
          <m:rPr>
            <m:sty m:val="p"/>
          </m:rPr>
          <m:t>expit</m:t>
        </m:r>
        <m:r>
          <m:rPr>
            <m:sty m:val="p"/>
          </m:rPr>
          <m:t>(</m:t>
        </m:r>
        <m:sSub>
          <m:e>
            <m:r>
              <m:t>Z</m:t>
            </m:r>
          </m:e>
          <m:sub>
            <m:r>
              <m:t>i</m:t>
            </m:r>
          </m:sub>
        </m:sSub>
        <m:sSubSup>
          <m:e>
            <m:r>
              <m:t>W</m:t>
            </m:r>
          </m:e>
          <m:sub>
            <m:r>
              <m:t>j</m:t>
            </m:r>
          </m:sub>
          <m:sup>
            <m:r>
              <m:rPr>
                <m:sty m:val="p"/>
              </m:rPr>
              <m:t>(</m:t>
            </m:r>
            <m:r>
              <m:t>m</m:t>
            </m:r>
            <m:r>
              <m:rPr>
                <m:sty m:val="p"/>
              </m:rPr>
              <m:t>)</m:t>
            </m:r>
            <m:r>
              <m:t>T</m:t>
            </m:r>
          </m:sup>
        </m:sSubSup>
        <m:r>
          <m:rPr>
            <m:sty m:val="p"/>
          </m:rPr>
          <m:t>)</m:t>
        </m:r>
      </m:oMath>
      <w:r>
        <w:t xml:space="preserve">. Unlike the copula, this model specifies the observation likelihood directly rather than through latent order constraints.</w:t>
      </w:r>
    </w:p>
    <w:p>
      <w:pPr>
        <w:pStyle w:val="BodyText"/>
      </w:pPr>
      <w:r>
        <w:t xml:space="preserve">Continuous feature means and standard deviations were estimated from training data only. Gaussian-view missing values remained missing. New-participant MOFA scores were conditional MAP estimates using fitted loadings, Gaussian noise precisions and the Bernoulli likelihood, with a standard-normal factor prior. The same MAP convention was used for training scores. This extension is implemented in the benchmark rather than attributed to an official MOFA prediction API.</w:t>
      </w:r>
    </w:p>
    <w:p>
      <w:pPr>
        <w:pStyle w:val="BodyText"/>
      </w:pPr>
      <w:r>
        <w:t xml:space="preserve">Rank PCA used training empirical normal scores, with zero imputation on the normal-score scale, followed by three principal components. A covariate-only reference included age, country, blood-cell composition and batch; it is labelled</w:t>
      </w:r>
      <w:r>
        <w:t xml:space="preserve"> </w:t>
      </w:r>
      <w:r>
        <w:rPr>
          <w:rStyle w:val="VerbatimChar"/>
        </w:rPr>
        <w:t xml:space="preserve">Clinical only</w:t>
      </w:r>
      <w:r>
        <w:t xml:space="preserve"> </w:t>
      </w:r>
      <w:r>
        <w:t xml:space="preserve">in raw records for compatibility. An oracle reference used the three true latent factors plus the same covariates. The oracle is a reference for accessible signal and is not a clinical method or guaranteed finite-sample upper bound.</w:t>
      </w:r>
    </w:p>
    <w:p>
      <w:pPr>
        <w:pStyle w:val="BodyText"/>
      </w:pPr>
      <w:r>
        <w:t xml:space="preserve">All representations entered an otherwise identical ridge logistic classifier, with prespecified scikit-learn</w:t>
      </w:r>
      <w:r>
        <w:t xml:space="preserve"> </w:t>
      </w:r>
      <m:oMath>
        <m:r>
          <m:t>C</m:t>
        </m:r>
        <m:r>
          <m:rPr>
            <m:sty m:val="p"/>
          </m:rPr>
          <m:t>=</m:t>
        </m:r>
        <m:r>
          <m:t>1</m:t>
        </m:r>
      </m:oMath>
      <w:r>
        <w:t xml:space="preserve"> </w:t>
      </w:r>
      <w:r>
        <w:t xml:space="preserve">and training-only standardisation. No classifier hyperparameters were selected from test outcomes. The classifier has additive effects and no interaction terms; it is therefore not designed to exploit a pure covariance change. This makes the separate dependence test necessary.</w:t>
      </w:r>
    </w:p>
    <w:bookmarkEnd w:id="15"/>
    <w:bookmarkStart w:id="19" w:name="evaluation-and-uncertainty"/>
    <w:p>
      <w:pPr>
        <w:pStyle w:val="Heading3"/>
        <w:keepNext/>
      </w:pPr>
      <w:r>
        <w:t xml:space="preserve">Evaluation and uncertainty</w:t>
      </w:r>
    </w:p>
    <w:p>
      <w:pPr>
        <w:pStyle w:val="FirstParagraph"/>
      </w:pPr>
      <w:r>
        <w:t xml:space="preserve">Backbone factor recovery was the mean squared cosine of the principal angles between centred estimated scores and the three generating backbone factors:</w:t>
      </w:r>
    </w:p>
    <w:p>
      <w:pPr>
        <w:pStyle w:val="BodyText"/>
      </w:pPr>
      <m:oMathPara>
        <m:oMathParaPr>
          <m:jc m:val="center"/>
        </m:oMathParaPr>
        <m:oMath>
          <m:r>
            <m:t>S</m:t>
          </m:r>
          <m:r>
            <m:rPr>
              <m:sty m:val="p"/>
            </m:rPr>
            <m:t>=</m:t>
          </m:r>
          <m:f>
            <m:fPr>
              <m:type m:val="bar"/>
            </m:fPr>
            <m:num>
              <m:r>
                <m:t>1</m:t>
              </m:r>
            </m:num>
            <m:den>
              <m:r>
                <m:t>3</m:t>
              </m:r>
            </m:den>
          </m:f>
          <m:nary>
            <m:naryPr>
              <m:chr m:val="∑"/>
              <m:limLoc m:val="undOvr"/>
              <m:subHide m:val="off"/>
              <m:supHide m:val="off"/>
            </m:naryPr>
            <m:sub>
              <m:r>
                <m:t>k</m:t>
              </m:r>
              <m:r>
                <m:rPr>
                  <m:sty m:val="p"/>
                </m:rPr>
                <m:t>=</m:t>
              </m:r>
              <m:r>
                <m:t>1</m:t>
              </m:r>
            </m:sub>
            <m:sup>
              <m:r>
                <m:t>3</m:t>
              </m:r>
            </m:sup>
            <m:e>
              <m:sSup>
                <m:e>
                  <m:r>
                    <m:rPr>
                      <m:sty m:val="p"/>
                    </m:rPr>
                    <m:t>cos</m:t>
                  </m:r>
                </m:e>
                <m:sup>
                  <m:r>
                    <m:t>2</m:t>
                  </m:r>
                </m:sup>
              </m:sSup>
            </m:e>
          </m:nary>
          <m:r>
            <m:rPr>
              <m:sty m:val="p"/>
            </m:rPr>
            <m:t>(</m:t>
          </m:r>
          <m:sSub>
            <m:e>
              <m:r>
                <m:t>θ</m:t>
              </m:r>
            </m:e>
            <m:sub>
              <m:r>
                <m:t>k</m:t>
              </m:r>
            </m:sub>
          </m:sSub>
          <m:r>
            <m:rPr>
              <m:sty m:val="p"/>
            </m:rPr>
            <m:t>)</m:t>
          </m:r>
          <m:r>
            <m:rPr>
              <m:sty m:val="p"/>
            </m:rPr>
            <m:t>.</m:t>
          </m:r>
        </m:oMath>
      </m:oMathPara>
    </w:p>
    <w:p>
      <w:pPr>
        <w:pStyle w:val="FirstParagraph"/>
      </w:pPr>
      <w:r>
        <w:t xml:space="preserve">This score is invariant to factor sign, permutation and rotation. Missing estimated dimensions contribute zero, and the denominator remains the three generating dimensions. Independent R checking identified a pre-release implementation issue in the original raw score, which averaged only over numerically retained dimensions. The primary</w:t>
      </w:r>
      <w:r>
        <w:t xml:space="preserve"> </w:t>
      </w:r>
      <w:hyperlink r:id="rId16">
        <w:r>
          <w:rPr>
            <w:rStyle w:val="Hyperlink"/>
          </w:rPr>
          <w:t xml:space="preserve">evaluation table</w:t>
        </w:r>
      </w:hyperlink>
      <w:r>
        <w:t xml:space="preserve"> </w:t>
      </w:r>
      <w:r>
        <w:t xml:space="preserve">corrects this using stored model scores;</w:t>
      </w:r>
      <w:r>
        <w:t xml:space="preserve"> </w:t>
      </w:r>
      <w:hyperlink r:id="rId17">
        <w:r>
          <w:rPr>
            <w:rStyle w:val="Hyperlink"/>
          </w:rPr>
          <w:t xml:space="preserve">the correction table</w:t>
        </w:r>
      </w:hyperlink>
      <w:r>
        <w:t xml:space="preserve"> </w:t>
      </w:r>
      <w:r>
        <w:t xml:space="preserve">preserves both quantities and estimated ranks. Raw replicate records, fitted models and all prediction results are unchanged. The</w:t>
      </w:r>
      <w:r>
        <w:t xml:space="preserve"> </w:t>
      </w:r>
      <w:hyperlink r:id="rId18">
        <w:r>
          <w:rPr>
            <w:rStyle w:val="Hyperlink"/>
          </w:rPr>
          <w:t xml:space="preserve">metric correction</w:t>
        </w:r>
      </w:hyperlink>
      <w:r>
        <w:t xml:space="preserve"> </w:t>
      </w:r>
      <w:r>
        <w:t xml:space="preserve">documents this amendment. A secondary descriptive measure applies the same calculation to the first two, subtype-predictive backbone factors; it measures capture of that target subspace rather than complete recovery of all three factors. In the dependence-only setting, the backbone factors are not subtype predictors. Independent test outcomes were evaluated using ROC AUC, average precision and Brier score,</w:t>
      </w:r>
    </w:p>
    <w:p>
      <w:pPr>
        <w:pStyle w:val="BodyText"/>
      </w:pPr>
      <m:oMathPara>
        <m:oMathParaPr>
          <m:jc m:val="center"/>
        </m:oMathParaPr>
        <m:oMath>
          <m:r>
            <m:rPr>
              <m:sty m:val="p"/>
            </m:rPr>
            <m:t>B</m:t>
          </m:r>
          <m:r>
            <m:rPr>
              <m:sty m:val="p"/>
            </m:rPr>
            <m:t>r</m:t>
          </m:r>
          <m:r>
            <m:rPr>
              <m:sty m:val="p"/>
            </m:rPr>
            <m:t>i</m:t>
          </m:r>
          <m:r>
            <m:rPr>
              <m:sty m:val="p"/>
            </m:rPr>
            <m:t>e</m:t>
          </m:r>
          <m:r>
            <m:rPr>
              <m:sty m:val="p"/>
            </m:rPr>
            <m:t>r</m:t>
          </m:r>
          <m:r>
            <m:rPr>
              <m:sty m:val="p"/>
            </m:rPr>
            <m:t>=</m:t>
          </m:r>
          <m:f>
            <m:fPr>
              <m:type m:val="bar"/>
            </m:fPr>
            <m:num>
              <m:r>
                <m:t>1</m:t>
              </m:r>
            </m:num>
            <m:den>
              <m:sSub>
                <m:e>
                  <m:r>
                    <m:t>n</m:t>
                  </m:r>
                </m:e>
                <m:sub>
                  <m:r>
                    <m:t>t</m:t>
                  </m:r>
                  <m:r>
                    <m:t>e</m:t>
                  </m:r>
                  <m:r>
                    <m:t>s</m:t>
                  </m:r>
                  <m:r>
                    <m:t>t</m:t>
                  </m:r>
                </m:sub>
              </m:sSub>
            </m:den>
          </m:f>
          <m:nary>
            <m:naryPr>
              <m:chr m:val="∑"/>
              <m:limLoc m:val="undOvr"/>
              <m:subHide m:val="off"/>
              <m:supHide m:val="on"/>
            </m:naryPr>
            <m:sub>
              <m:r>
                <m:t>i</m:t>
              </m:r>
            </m:sub>
            <m:sup>
              <m:r>
                <m:t>​</m:t>
              </m:r>
            </m:sup>
            <m:e>
              <m:r>
                <m:rPr>
                  <m:sty m:val="p"/>
                </m:rPr>
                <m:t>(</m:t>
              </m:r>
            </m:e>
          </m:nary>
          <m:sSub>
            <m:e>
              <m:acc>
                <m:accPr>
                  <m:chr m:val="̂"/>
                </m:accPr>
                <m:e>
                  <m:r>
                    <m:t>p</m:t>
                  </m:r>
                </m:e>
              </m:acc>
            </m:e>
            <m:sub>
              <m:r>
                <m:t>i</m:t>
              </m:r>
            </m:sub>
          </m:sSub>
          <m:r>
            <m:rPr>
              <m:sty m:val="p"/>
            </m:rPr>
            <m:t>−</m:t>
          </m:r>
          <m:sSub>
            <m:e>
              <m:r>
                <m:t>T</m:t>
              </m:r>
            </m:e>
            <m:sub>
              <m:r>
                <m:t>i</m:t>
              </m:r>
            </m:sub>
          </m:sSub>
          <m:sSup>
            <m:e>
              <m:r>
                <m:rPr>
                  <m:sty m:val="p"/>
                </m:rPr>
                <m:t>)</m:t>
              </m:r>
            </m:e>
            <m:sup>
              <m:r>
                <m:t>2</m:t>
              </m:r>
            </m:sup>
          </m:sSup>
          <m:r>
            <m:rPr>
              <m:sty m:val="p"/>
            </m:rPr>
            <m:t>.</m:t>
          </m:r>
        </m:oMath>
      </m:oMathPara>
    </w:p>
    <w:p>
      <w:pPr>
        <w:pStyle w:val="FirstParagraph"/>
      </w:pPr>
      <w:r>
        <w:t xml:space="preserve">Paired differences were calculated within each replicate. Percentile intervals used 2,000 paired bootstrap resamples of the 30 replicate differences. Plot error bars for mean performance use 1.96 times the Monte Carlo standard error across independent replicates. These are descriptive simulation intervals, not multiplicity-adjusted clinical evidence. Failures and diagnostic flags are reported separately.</w:t>
      </w:r>
    </w:p>
    <w:bookmarkEnd w:id="19"/>
    <w:bookmarkStart w:id="22" w:name="prespecified-dependence-test"/>
    <w:p>
      <w:pPr>
        <w:pStyle w:val="Heading3"/>
        <w:keepNext/>
      </w:pPr>
      <w:r>
        <w:t xml:space="preserve">Prespecified dependence test</w:t>
      </w:r>
    </w:p>
    <w:p>
      <w:pPr>
        <w:pStyle w:val="FirstParagraph"/>
      </w:pPr>
      <w:r>
        <w:t xml:space="preserve">A companion experiment generated one RNA/protein pair with negative-binomial RNA counts and log-protein measurements. Subtype affected the pair’s correlation only. Pearson correlation on transformed abundance and correlation after empirical normal scoring were compared using the absolute Fisher-z difference:</w:t>
      </w:r>
    </w:p>
    <w:p>
      <w:pPr>
        <w:pStyle w:val="BodyText"/>
      </w:pPr>
      <m:oMathPara>
        <m:oMathParaPr>
          <m:jc m:val="center"/>
        </m:oMathParaPr>
        <m:oMath>
          <m:r>
            <m:t>Q</m:t>
          </m:r>
          <m:r>
            <m:rPr>
              <m:sty m:val="p"/>
            </m:rPr>
            <m:t>=</m:t>
          </m:r>
          <m:f>
            <m:fPr>
              <m:type m:val="bar"/>
            </m:fPr>
            <m:num>
              <m:r>
                <m:rPr>
                  <m:sty m:val="p"/>
                </m:rPr>
                <m:t>|</m:t>
              </m:r>
              <m:r>
                <m:rPr>
                  <m:sty m:val="p"/>
                </m:rPr>
                <m:t>atanh</m:t>
              </m:r>
              <m:r>
                <m:rPr>
                  <m:sty m:val="p"/>
                </m:rPr>
                <m:t>(</m:t>
              </m:r>
              <m:sSub>
                <m:e>
                  <m:r>
                    <m:t>r</m:t>
                  </m:r>
                </m:e>
                <m:sub>
                  <m:r>
                    <m:t>1</m:t>
                  </m:r>
                </m:sub>
              </m:sSub>
              <m:r>
                <m:rPr>
                  <m:sty m:val="p"/>
                </m:rPr>
                <m:t>)</m:t>
              </m:r>
              <m:r>
                <m:rPr>
                  <m:sty m:val="p"/>
                </m:rPr>
                <m:t>−</m:t>
              </m:r>
              <m:r>
                <m:rPr>
                  <m:sty m:val="p"/>
                </m:rPr>
                <m:t>atanh</m:t>
              </m:r>
              <m:r>
                <m:rPr>
                  <m:sty m:val="p"/>
                </m:rPr>
                <m:t>(</m:t>
              </m:r>
              <m:sSub>
                <m:e>
                  <m:r>
                    <m:t>r</m:t>
                  </m:r>
                </m:e>
                <m:sub>
                  <m:r>
                    <m:t>0</m:t>
                  </m:r>
                </m:sub>
              </m:sSub>
              <m:r>
                <m:rPr>
                  <m:sty m:val="p"/>
                </m:rPr>
                <m:t>)</m:t>
              </m:r>
              <m:r>
                <m:rPr>
                  <m:sty m:val="p"/>
                </m:rPr>
                <m:t>|</m:t>
              </m:r>
            </m:num>
            <m:den>
              <m:rad>
                <m:radPr>
                  <m:degHide m:val="on"/>
                </m:radPr>
                <m:deg/>
                <m:e>
                  <m:r>
                    <m:t>1</m:t>
                  </m:r>
                  <m:r>
                    <m:rPr>
                      <m:sty m:val="p"/>
                    </m:rPr>
                    <m:t>/</m:t>
                  </m:r>
                  <m:r>
                    <m:rPr>
                      <m:sty m:val="p"/>
                    </m:rPr>
                    <m:t>(</m:t>
                  </m:r>
                  <m:sSub>
                    <m:e>
                      <m:r>
                        <m:t>n</m:t>
                      </m:r>
                    </m:e>
                    <m:sub>
                      <m:r>
                        <m:t>1</m:t>
                      </m:r>
                    </m:sub>
                  </m:sSub>
                  <m:r>
                    <m:rPr>
                      <m:sty m:val="p"/>
                    </m:rPr>
                    <m:t>−</m:t>
                  </m:r>
                  <m:r>
                    <m:t>3</m:t>
                  </m:r>
                  <m:r>
                    <m:rPr>
                      <m:sty m:val="p"/>
                    </m:rPr>
                    <m:t>)</m:t>
                  </m:r>
                  <m:r>
                    <m:rPr>
                      <m:sty m:val="p"/>
                    </m:rPr>
                    <m:t>+</m:t>
                  </m:r>
                  <m:r>
                    <m:t>1</m:t>
                  </m:r>
                  <m:r>
                    <m:rPr>
                      <m:sty m:val="p"/>
                    </m:rPr>
                    <m:t>/</m:t>
                  </m:r>
                  <m:r>
                    <m:rPr>
                      <m:sty m:val="p"/>
                    </m:rPr>
                    <m:t>(</m:t>
                  </m:r>
                  <m:sSub>
                    <m:e>
                      <m:r>
                        <m:t>n</m:t>
                      </m:r>
                    </m:e>
                    <m:sub>
                      <m:r>
                        <m:t>0</m:t>
                      </m:r>
                    </m:sub>
                  </m:sSub>
                  <m:r>
                    <m:rPr>
                      <m:sty m:val="p"/>
                    </m:rPr>
                    <m:t>−</m:t>
                  </m:r>
                  <m:r>
                    <m:t>3</m:t>
                  </m:r>
                  <m:r>
                    <m:rPr>
                      <m:sty m:val="p"/>
                    </m:rPr>
                    <m:t>)</m:t>
                  </m:r>
                </m:e>
              </m:rad>
            </m:den>
          </m:f>
          <m:r>
            <m:rPr>
              <m:sty m:val="p"/>
            </m:rPr>
            <m:t>.</m:t>
          </m:r>
        </m:oMath>
      </m:oMathPara>
    </w:p>
    <w:p>
      <w:pPr>
        <w:pStyle w:val="FirstParagraph"/>
      </w:pPr>
      <w:r>
        <w:t xml:space="preserve">Rather than relying on a normal approximation, the initial experiment used 500 independent null calibration datasets per method and sample size, with the 476th ascending statistic as a strict threshold. Its realised null rejection rate reached 8.0% for the rank-normal statistic at N = 180. All initial results remain available in</w:t>
      </w:r>
      <w:r>
        <w:t xml:space="preserve"> </w:t>
      </w:r>
      <w:hyperlink r:id="rId20">
        <w:r>
          <w:rPr>
            <w:rStyle w:val="Hyperlink"/>
          </w:rPr>
          <w:t xml:space="preserve">the initial summary</w:t>
        </w:r>
      </w:hyperlink>
      <w:r>
        <w:t xml:space="preserve">. An averaged rank guarantee does not guarantee a 5% conditional rejection probability for every realised calibration bank.</w:t>
      </w:r>
    </w:p>
    <w:p>
      <w:pPr>
        <w:pStyle w:val="BodyText"/>
      </w:pPr>
      <w:r>
        <w:t xml:space="preserve">A</w:t>
      </w:r>
      <w:r>
        <w:t xml:space="preserve"> </w:t>
      </w:r>
      <w:hyperlink r:id="rId21">
        <w:r>
          <w:rPr>
            <w:rStyle w:val="Hyperlink"/>
          </w:rPr>
          <w:t xml:space="preserve">prospective uniform extension</w:t>
        </w:r>
      </w:hyperlink>
      <w:r>
        <w:t xml:space="preserve">, frozen before its own simulations, increased calibration to 5,000 datasets per sample size and evaluated 1,000 fresh datasets at each correlation difference 0, 0.25, 0.40 and 0.65. Both statistics and both sample sizes received the same extension. Its strict threshold was the 4,751st ascending statistic, giving an averaged exchangeability bound of</w:t>
      </w:r>
      <w:r>
        <w:t xml:space="preserve"> </w:t>
      </w:r>
      <m:oMath>
        <m:r>
          <m:t>250</m:t>
        </m:r>
        <m:r>
          <m:rPr>
            <m:sty m:val="p"/>
          </m:rPr>
          <m:t>/</m:t>
        </m:r>
        <m:r>
          <m:t>5001</m:t>
        </m:r>
        <m:r>
          <m:rPr>
            <m:sty m:val="p"/>
          </m:rPr>
          <m:t>≈</m:t>
        </m:r>
        <m:r>
          <m:t>0.0500</m:t>
        </m:r>
      </m:oMath>
      <w:r>
        <w:t xml:space="preserve">. No subsequent threshold tuning was performed using validation outcomes. Wilson intervals describe evaluation-binomial uncertainty conditional on the realised calibration bank; they do not include all calibration-bank uncertainty. This is a targeted pair test without feature search, not a test of causal regulation or an output of the factor model.</w:t>
      </w:r>
    </w:p>
    <w:bookmarkEnd w:id="22"/>
    <w:bookmarkEnd w:id="23"/>
    <w:bookmarkStart w:id="49" w:name="results"/>
    <w:p>
      <w:pPr>
        <w:pStyle w:val="Heading2"/>
        <w:keepNext/>
      </w:pPr>
      <w:r>
        <w:t xml:space="preserve">Results</w:t>
      </w:r>
    </w:p>
    <w:bookmarkStart w:id="30" w:name="X45bfc934fb27b8cf7df9966e1015132a3fb87c3"/>
    <w:p>
      <w:pPr>
        <w:pStyle w:val="Heading3"/>
        <w:keepNext/>
      </w:pPr>
      <w:r>
        <w:t xml:space="preserve">Measurement structure and recovery of molecular programmes</w:t>
      </w:r>
    </w:p>
    <w:p>
      <w:pPr>
        <w:pStyle w:val="FirstParagraph"/>
      </w:pPr>
      <w:r>
        <w:t xml:space="preserve">The generated panels combine discrete genomic observations with continuous, transformed abundance data. Missing proteins depend on abundance and therefore challenge an ignorable-missingness analysis. The illustration uses a fixed synthetic dataset independent of the evaluation bank.</w:t>
      </w:r>
    </w:p>
    <w:p>
      <w:pPr>
        <w:pStyle w:val="BodyText"/>
        <w:keepNext/>
        <w:jc w:val="center"/>
      </w:pPr>
      <w:r>
        <w:drawing>
          <wp:inline>
            <wp:extent cx="5852160" cy="3787222"/>
            <wp:effectExtent b="0" l="0" r="0" t="0"/>
            <wp:docPr descr="" title="" id="25" name="Picture"/>
            <a:graphic>
              <a:graphicData uri="http://schemas.openxmlformats.org/drawingml/2006/picture">
                <pic:pic>
                  <pic:nvPicPr>
                    <pic:cNvPr descr="../figures/measurements.png" id="26" name="Picture"/>
                    <pic:cNvPicPr>
                      <a:picLocks noChangeArrowheads="1" noChangeAspect="1"/>
                    </pic:cNvPicPr>
                  </pic:nvPicPr>
                  <pic:blipFill>
                    <a:blip r:embed="rId24"/>
                    <a:stretch>
                      <a:fillRect/>
                    </a:stretch>
                  </pic:blipFill>
                  <pic:spPr bwMode="auto">
                    <a:xfrm>
                      <a:off x="0" y="0"/>
                      <a:ext cx="5852160" cy="3787222"/>
                    </a:xfrm>
                    <a:prstGeom prst="rect">
                      <a:avLst/>
                    </a:prstGeom>
                    <a:noFill/>
                    <a:ln w="9525">
                      <a:noFill/>
                      <a:headEnd/>
                      <a:tailEnd/>
                    </a:ln>
                  </pic:spPr>
                </pic:pic>
              </a:graphicData>
            </a:graphic>
          </wp:inline>
        </w:drawing>
      </w:r>
    </w:p>
    <w:p>
      <w:pPr>
        <w:pStyle w:val="BodyText"/>
        <w:spacing w:after="180"/>
      </w:pPr>
      <w:r>
        <w:t xml:space="preserve">Figure 1. One feature from each view in an independent synthetic missing-protein dataset. Protein histograms include observed values only. The regular setting uses continuous transformed-scale measurements, while the remaining settings include simulated RNA counts.</w:t>
      </w:r>
    </w:p>
    <w:p>
      <w:pPr>
        <w:pStyle w:val="BodyText"/>
      </w:pPr>
      <w:r>
        <w:t xml:space="preserve">Across the five mean-signal mechanisms, the unweighted mean backbone recovery was 0.610 for mixed-likelihood MOFA+ and 0.706 for the copula pipeline. Recovery assesses the complete integration-and-projection pipelines, so differences cannot be attributed solely to the choice of likelihood. Technical shifts and abundance-dependent missingness test whether the estimated factors remain aligned with the generating biological backbone.</w:t>
      </w:r>
    </w:p>
    <w:p>
      <w:pPr>
        <w:pStyle w:val="BodyText"/>
      </w:pPr>
      <w:r>
        <w:t xml:space="preserve">The secondary capture score for the two subtype-predictive factors was 0.857 for mixed-likelihood MOFA+ and 0.877 for the copula pipeline. Removal of a weak, non-predictive third factor can lower full-backbone recovery without materially reducing subtype prediction. Consequently, a higher three-factor score should not by itself be interpreted as better recovery of clinically relevant information.</w:t>
      </w:r>
    </w:p>
    <w:p>
      <w:pPr>
        <w:pStyle w:val="BodyText"/>
        <w:keepNext/>
        <w:jc w:val="center"/>
      </w:pPr>
      <w:r>
        <w:drawing>
          <wp:inline>
            <wp:extent cx="5852160" cy="6335365"/>
            <wp:effectExtent b="0" l="0" r="0" t="0"/>
            <wp:docPr descr="" title="" id="28" name="Picture"/>
            <a:graphic>
              <a:graphicData uri="http://schemas.openxmlformats.org/drawingml/2006/picture">
                <pic:pic>
                  <pic:nvPicPr>
                    <pic:cNvPr descr="../figures/factor_recovery.png" id="29" name="Picture"/>
                    <pic:cNvPicPr>
                      <a:picLocks noChangeArrowheads="1" noChangeAspect="1"/>
                    </pic:cNvPicPr>
                  </pic:nvPicPr>
                  <pic:blipFill>
                    <a:blip r:embed="rId27"/>
                    <a:stretch>
                      <a:fillRect/>
                    </a:stretch>
                  </pic:blipFill>
                  <pic:spPr bwMode="auto">
                    <a:xfrm>
                      <a:off x="0" y="0"/>
                      <a:ext cx="5852160" cy="6335365"/>
                    </a:xfrm>
                    <a:prstGeom prst="rect">
                      <a:avLst/>
                    </a:prstGeom>
                    <a:noFill/>
                    <a:ln w="9525">
                      <a:noFill/>
                      <a:headEnd/>
                      <a:tailEnd/>
                    </a:ln>
                  </pic:spPr>
                </pic:pic>
              </a:graphicData>
            </a:graphic>
          </wp:inline>
        </w:drawing>
      </w:r>
    </w:p>
    <w:p>
      <w:pPr>
        <w:pStyle w:val="BodyText"/>
        <w:spacing w:after="180"/>
      </w:pPr>
      <w:r>
        <w:t xml:space="preserve">Figure 2. Mean squared principal-angle recovery, with Monte Carlo error bars, from 30 replicates per cell. Higher values indicate closer agreement with the three generating backbone factors. The subtype-specific pair perturbation is outside this backbone in the dependence-only setting.</w:t>
      </w:r>
    </w:p>
    <w:bookmarkEnd w:id="30"/>
    <w:bookmarkStart w:id="37" w:name="independent-subtype-prediction"/>
    <w:p>
      <w:pPr>
        <w:pStyle w:val="Heading3"/>
        <w:keepNext/>
      </w:pPr>
      <w:r>
        <w:t xml:space="preserve">Independent subtype prediction</w:t>
      </w:r>
    </w:p>
    <w:p>
      <w:pPr>
        <w:pStyle w:val="FirstParagraph"/>
        <w:keepNext/>
      </w:pPr>
      <w:r>
        <w:t xml:space="preserve">Table 1 reports performance at the larger training size. All methods used the same independent test participants within a replicate. Oracle values quantify performance with access to the true factors, while rank PCA tests whether a simpler transformation-based representation is sufficient.</w:t>
      </w:r>
    </w:p>
    <w:p>
      <w:pPr>
        <w:pStyle w:val="BodyText"/>
        <w:keepNext/>
      </w:pPr>
      <w:r>
        <w:t xml:space="preserve">Table 1. Mean independent-test ROC AUC at training N = 360 across 30 replicates.</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shd w:fill="E8EFF4"/>
          </w:tcPr>
          <w:p>
            <w:pPr>
              <w:keepNext/>
              <w:spacing w:before="60" w:after="60"/>
            </w:pPr>
            <w:r>
              <w:rPr>
                <w:b/>
                <w:sz w:val="19"/>
              </w:rPr>
              <w:t>Mechanism</w:t>
            </w:r>
          </w:p>
        </w:tc>
        <w:tc>
          <w:tcPr>
            <w:tcW w:type="dxa" w:w="1680"/>
            <w:vAlign w:val="center"/>
            <w:shd w:fill="E8EFF4"/>
          </w:tcPr>
          <w:p>
            <w:pPr>
              <w:keepNext/>
              <w:spacing w:before="60" w:after="60"/>
            </w:pPr>
            <w:r>
              <w:rPr>
                <w:b/>
                <w:sz w:val="19"/>
              </w:rPr>
              <w:t>MOFA+</w:t>
            </w:r>
          </w:p>
        </w:tc>
        <w:tc>
          <w:tcPr>
            <w:tcW w:type="dxa" w:w="1680"/>
            <w:vAlign w:val="center"/>
            <w:shd w:fill="E8EFF4"/>
          </w:tcPr>
          <w:p>
            <w:pPr>
              <w:keepNext/>
              <w:spacing w:before="60" w:after="60"/>
            </w:pPr>
            <w:r>
              <w:rPr>
                <w:b/>
                <w:sz w:val="19"/>
              </w:rPr>
              <w:t>MOFA+ Gaussian</w:t>
            </w:r>
          </w:p>
        </w:tc>
        <w:tc>
          <w:tcPr>
            <w:tcW w:type="dxa" w:w="1680"/>
            <w:vAlign w:val="center"/>
            <w:shd w:fill="E8EFF4"/>
          </w:tcPr>
          <w:p>
            <w:pPr>
              <w:keepNext/>
              <w:spacing w:before="60" w:after="60"/>
            </w:pPr>
            <w:r>
              <w:rPr>
                <w:b/>
                <w:sz w:val="19"/>
              </w:rPr>
              <w:t>Copula</w:t>
            </w:r>
          </w:p>
        </w:tc>
        <w:tc>
          <w:tcPr>
            <w:tcW w:type="dxa" w:w="1680"/>
            <w:vAlign w:val="center"/>
            <w:shd w:fill="E8EFF4"/>
          </w:tcPr>
          <w:p>
            <w:pPr>
              <w:keepNext/>
              <w:spacing w:before="60" w:after="60"/>
            </w:pPr>
            <w:r>
              <w:rPr>
                <w:b/>
                <w:sz w:val="19"/>
              </w:rPr>
              <w:t>Rank PCA</w:t>
            </w:r>
          </w:p>
        </w:tc>
        <w:tc>
          <w:tcPr>
            <w:tcW w:type="dxa" w:w="1680"/>
            <w:vAlign w:val="center"/>
            <w:shd w:fill="E8EFF4"/>
          </w:tcPr>
          <w:p>
            <w:pPr>
              <w:keepNext/>
              <w:spacing w:before="60" w:after="60"/>
            </w:pPr>
            <w:r>
              <w:rPr>
                <w:b/>
                <w:sz w:val="19"/>
              </w:rPr>
              <w:t>Oracle factors</w:t>
            </w:r>
          </w:p>
        </w:tc>
      </w:tr>
      <w:tr>
        <w:trPr>
          <w:cantSplit/>
        </w:trPr>
        <w:tc>
          <w:tcPr>
            <w:tcW w:type="dxa" w:w="1680"/>
            <w:vAlign w:val="center"/>
            <w:shd w:fill="F5F7F9"/>
          </w:tcPr>
          <w:p>
            <w:pPr>
              <w:keepNext/>
              <w:spacing w:before="60" w:after="60"/>
            </w:pPr>
            <w:r>
              <w:rPr>
                <w:b w:val="0"/>
                <w:sz w:val="19"/>
              </w:rPr>
              <w:t>Regular</w:t>
            </w:r>
          </w:p>
        </w:tc>
        <w:tc>
          <w:tcPr>
            <w:tcW w:type="dxa" w:w="1680"/>
            <w:vAlign w:val="center"/>
            <w:shd w:fill="F5F7F9"/>
          </w:tcPr>
          <w:p>
            <w:pPr>
              <w:keepNext/>
              <w:spacing w:before="60" w:after="60"/>
            </w:pPr>
            <w:r>
              <w:rPr>
                <w:b w:val="0"/>
                <w:sz w:val="19"/>
              </w:rPr>
              <w:t>0.719</w:t>
            </w:r>
          </w:p>
        </w:tc>
        <w:tc>
          <w:tcPr>
            <w:tcW w:type="dxa" w:w="1680"/>
            <w:vAlign w:val="center"/>
            <w:shd w:fill="F5F7F9"/>
          </w:tcPr>
          <w:p>
            <w:pPr>
              <w:keepNext/>
              <w:spacing w:before="60" w:after="60"/>
            </w:pPr>
            <w:r>
              <w:rPr>
                <w:b w:val="0"/>
                <w:sz w:val="19"/>
              </w:rPr>
              <w:t>0.718</w:t>
            </w:r>
          </w:p>
        </w:tc>
        <w:tc>
          <w:tcPr>
            <w:tcW w:type="dxa" w:w="1680"/>
            <w:vAlign w:val="center"/>
            <w:shd w:fill="F5F7F9"/>
          </w:tcPr>
          <w:p>
            <w:pPr>
              <w:keepNext/>
              <w:spacing w:before="60" w:after="60"/>
            </w:pPr>
            <w:r>
              <w:rPr>
                <w:b w:val="0"/>
                <w:sz w:val="19"/>
              </w:rPr>
              <w:t>0.721</w:t>
            </w:r>
          </w:p>
        </w:tc>
        <w:tc>
          <w:tcPr>
            <w:tcW w:type="dxa" w:w="1680"/>
            <w:vAlign w:val="center"/>
            <w:shd w:fill="F5F7F9"/>
          </w:tcPr>
          <w:p>
            <w:pPr>
              <w:keepNext/>
              <w:spacing w:before="60" w:after="60"/>
            </w:pPr>
            <w:r>
              <w:rPr>
                <w:b w:val="0"/>
                <w:sz w:val="19"/>
              </w:rPr>
              <w:t>0.721</w:t>
            </w:r>
          </w:p>
        </w:tc>
        <w:tc>
          <w:tcPr>
            <w:tcW w:type="dxa" w:w="1680"/>
            <w:vAlign w:val="center"/>
            <w:shd w:fill="F5F7F9"/>
          </w:tcPr>
          <w:p>
            <w:pPr>
              <w:keepNext/>
              <w:spacing w:before="60" w:after="60"/>
            </w:pPr>
            <w:r>
              <w:rPr>
                <w:b w:val="0"/>
                <w:sz w:val="19"/>
              </w:rPr>
              <w:t>0.737</w:t>
            </w:r>
          </w:p>
        </w:tc>
      </w:tr>
      <w:tr>
        <w:trPr>
          <w:cantSplit/>
        </w:trPr>
        <w:tc>
          <w:tcPr>
            <w:tcW w:type="dxa" w:w="1680"/>
            <w:vAlign w:val="center"/>
            <w:shd w:fill="FFFFFF"/>
          </w:tcPr>
          <w:p>
            <w:pPr>
              <w:keepNext/>
              <w:spacing w:before="60" w:after="60"/>
            </w:pPr>
            <w:r>
              <w:rPr>
                <w:b w:val="0"/>
                <w:sz w:val="19"/>
              </w:rPr>
              <w:t>Skewed</w:t>
            </w:r>
          </w:p>
        </w:tc>
        <w:tc>
          <w:tcPr>
            <w:tcW w:type="dxa" w:w="1680"/>
            <w:vAlign w:val="center"/>
            <w:shd w:fill="FFFFFF"/>
          </w:tcPr>
          <w:p>
            <w:pPr>
              <w:keepNext/>
              <w:spacing w:before="60" w:after="60"/>
            </w:pPr>
            <w:r>
              <w:rPr>
                <w:b w:val="0"/>
                <w:sz w:val="19"/>
              </w:rPr>
              <w:t>0.712</w:t>
            </w:r>
          </w:p>
        </w:tc>
        <w:tc>
          <w:tcPr>
            <w:tcW w:type="dxa" w:w="1680"/>
            <w:vAlign w:val="center"/>
            <w:shd w:fill="FFFFFF"/>
          </w:tcPr>
          <w:p>
            <w:pPr>
              <w:keepNext/>
              <w:spacing w:before="60" w:after="60"/>
            </w:pPr>
            <w:r>
              <w:rPr>
                <w:b w:val="0"/>
                <w:sz w:val="19"/>
              </w:rPr>
              <w:t>0.713</w:t>
            </w:r>
          </w:p>
        </w:tc>
        <w:tc>
          <w:tcPr>
            <w:tcW w:type="dxa" w:w="1680"/>
            <w:vAlign w:val="center"/>
            <w:shd w:fill="FFFFFF"/>
          </w:tcPr>
          <w:p>
            <w:pPr>
              <w:keepNext/>
              <w:spacing w:before="60" w:after="60"/>
            </w:pPr>
            <w:r>
              <w:rPr>
                <w:b w:val="0"/>
                <w:sz w:val="19"/>
              </w:rPr>
              <w:t>0.717</w:t>
            </w:r>
          </w:p>
        </w:tc>
        <w:tc>
          <w:tcPr>
            <w:tcW w:type="dxa" w:w="1680"/>
            <w:vAlign w:val="center"/>
            <w:shd w:fill="FFFFFF"/>
          </w:tcPr>
          <w:p>
            <w:pPr>
              <w:keepNext/>
              <w:spacing w:before="60" w:after="60"/>
            </w:pPr>
            <w:r>
              <w:rPr>
                <w:b w:val="0"/>
                <w:sz w:val="19"/>
              </w:rPr>
              <w:t>0.715</w:t>
            </w:r>
          </w:p>
        </w:tc>
        <w:tc>
          <w:tcPr>
            <w:tcW w:type="dxa" w:w="1680"/>
            <w:vAlign w:val="center"/>
            <w:shd w:fill="FFFFFF"/>
          </w:tcPr>
          <w:p>
            <w:pPr>
              <w:keepNext/>
              <w:spacing w:before="60" w:after="60"/>
            </w:pPr>
            <w:r>
              <w:rPr>
                <w:b w:val="0"/>
                <w:sz w:val="19"/>
              </w:rPr>
              <w:t>0.731</w:t>
            </w:r>
          </w:p>
        </w:tc>
      </w:tr>
      <w:tr>
        <w:trPr>
          <w:cantSplit/>
        </w:trPr>
        <w:tc>
          <w:tcPr>
            <w:tcW w:type="dxa" w:w="1680"/>
            <w:vAlign w:val="center"/>
            <w:shd w:fill="F5F7F9"/>
          </w:tcPr>
          <w:p>
            <w:pPr>
              <w:keepNext/>
              <w:spacing w:before="60" w:after="60"/>
            </w:pPr>
            <w:r>
              <w:rPr>
                <w:b w:val="0"/>
                <w:sz w:val="19"/>
              </w:rPr>
              <w:t>Technical variation</w:t>
            </w:r>
          </w:p>
        </w:tc>
        <w:tc>
          <w:tcPr>
            <w:tcW w:type="dxa" w:w="1680"/>
            <w:vAlign w:val="center"/>
            <w:shd w:fill="F5F7F9"/>
          </w:tcPr>
          <w:p>
            <w:pPr>
              <w:keepNext/>
              <w:spacing w:before="60" w:after="60"/>
            </w:pPr>
            <w:r>
              <w:rPr>
                <w:b w:val="0"/>
                <w:sz w:val="19"/>
              </w:rPr>
              <w:t>0.720</w:t>
            </w:r>
          </w:p>
        </w:tc>
        <w:tc>
          <w:tcPr>
            <w:tcW w:type="dxa" w:w="1680"/>
            <w:vAlign w:val="center"/>
            <w:shd w:fill="F5F7F9"/>
          </w:tcPr>
          <w:p>
            <w:pPr>
              <w:keepNext/>
              <w:spacing w:before="60" w:after="60"/>
            </w:pPr>
            <w:r>
              <w:rPr>
                <w:b w:val="0"/>
                <w:sz w:val="19"/>
              </w:rPr>
              <w:t>0.720</w:t>
            </w:r>
          </w:p>
        </w:tc>
        <w:tc>
          <w:tcPr>
            <w:tcW w:type="dxa" w:w="1680"/>
            <w:vAlign w:val="center"/>
            <w:shd w:fill="F5F7F9"/>
          </w:tcPr>
          <w:p>
            <w:pPr>
              <w:keepNext/>
              <w:spacing w:before="60" w:after="60"/>
            </w:pPr>
            <w:r>
              <w:rPr>
                <w:b w:val="0"/>
                <w:sz w:val="19"/>
              </w:rPr>
              <w:t>0.718</w:t>
            </w:r>
          </w:p>
        </w:tc>
        <w:tc>
          <w:tcPr>
            <w:tcW w:type="dxa" w:w="1680"/>
            <w:vAlign w:val="center"/>
            <w:shd w:fill="F5F7F9"/>
          </w:tcPr>
          <w:p>
            <w:pPr>
              <w:keepNext/>
              <w:spacing w:before="60" w:after="60"/>
            </w:pPr>
            <w:r>
              <w:rPr>
                <w:b w:val="0"/>
                <w:sz w:val="19"/>
              </w:rPr>
              <w:t>0.719</w:t>
            </w:r>
          </w:p>
        </w:tc>
        <w:tc>
          <w:tcPr>
            <w:tcW w:type="dxa" w:w="1680"/>
            <w:vAlign w:val="center"/>
            <w:shd w:fill="F5F7F9"/>
          </w:tcPr>
          <w:p>
            <w:pPr>
              <w:keepNext/>
              <w:spacing w:before="60" w:after="60"/>
            </w:pPr>
            <w:r>
              <w:rPr>
                <w:b w:val="0"/>
                <w:sz w:val="19"/>
              </w:rPr>
              <w:t>0.734</w:t>
            </w:r>
          </w:p>
        </w:tc>
      </w:tr>
      <w:tr>
        <w:trPr>
          <w:cantSplit/>
        </w:trPr>
        <w:tc>
          <w:tcPr>
            <w:tcW w:type="dxa" w:w="1680"/>
            <w:vAlign w:val="center"/>
            <w:shd w:fill="FFFFFF"/>
          </w:tcPr>
          <w:p>
            <w:pPr>
              <w:keepNext/>
              <w:spacing w:before="60" w:after="60"/>
            </w:pPr>
            <w:r>
              <w:rPr>
                <w:b w:val="0"/>
                <w:sz w:val="19"/>
              </w:rPr>
              <w:t>Missing proteins</w:t>
            </w:r>
          </w:p>
        </w:tc>
        <w:tc>
          <w:tcPr>
            <w:tcW w:type="dxa" w:w="1680"/>
            <w:vAlign w:val="center"/>
            <w:shd w:fill="FFFFFF"/>
          </w:tcPr>
          <w:p>
            <w:pPr>
              <w:keepNext/>
              <w:spacing w:before="60" w:after="60"/>
            </w:pPr>
            <w:r>
              <w:rPr>
                <w:b w:val="0"/>
                <w:sz w:val="19"/>
              </w:rPr>
              <w:t>0.722</w:t>
            </w:r>
          </w:p>
        </w:tc>
        <w:tc>
          <w:tcPr>
            <w:tcW w:type="dxa" w:w="1680"/>
            <w:vAlign w:val="center"/>
            <w:shd w:fill="FFFFFF"/>
          </w:tcPr>
          <w:p>
            <w:pPr>
              <w:keepNext/>
              <w:spacing w:before="60" w:after="60"/>
            </w:pPr>
            <w:r>
              <w:rPr>
                <w:b w:val="0"/>
                <w:sz w:val="19"/>
              </w:rPr>
              <w:t>0.722</w:t>
            </w:r>
          </w:p>
        </w:tc>
        <w:tc>
          <w:tcPr>
            <w:tcW w:type="dxa" w:w="1680"/>
            <w:vAlign w:val="center"/>
            <w:shd w:fill="FFFFFF"/>
          </w:tcPr>
          <w:p>
            <w:pPr>
              <w:keepNext/>
              <w:spacing w:before="60" w:after="60"/>
            </w:pPr>
            <w:r>
              <w:rPr>
                <w:b w:val="0"/>
                <w:sz w:val="19"/>
              </w:rPr>
              <w:t>0.722</w:t>
            </w:r>
          </w:p>
        </w:tc>
        <w:tc>
          <w:tcPr>
            <w:tcW w:type="dxa" w:w="1680"/>
            <w:vAlign w:val="center"/>
            <w:shd w:fill="FFFFFF"/>
          </w:tcPr>
          <w:p>
            <w:pPr>
              <w:keepNext/>
              <w:spacing w:before="60" w:after="60"/>
            </w:pPr>
            <w:r>
              <w:rPr>
                <w:b w:val="0"/>
                <w:sz w:val="19"/>
              </w:rPr>
              <w:t>0.720</w:t>
            </w:r>
          </w:p>
        </w:tc>
        <w:tc>
          <w:tcPr>
            <w:tcW w:type="dxa" w:w="1680"/>
            <w:vAlign w:val="center"/>
            <w:shd w:fill="FFFFFF"/>
          </w:tcPr>
          <w:p>
            <w:pPr>
              <w:keepNext/>
              <w:spacing w:before="60" w:after="60"/>
            </w:pPr>
            <w:r>
              <w:rPr>
                <w:b w:val="0"/>
                <w:sz w:val="19"/>
              </w:rPr>
              <w:t>0.734</w:t>
            </w:r>
          </w:p>
        </w:tc>
      </w:tr>
      <w:tr>
        <w:trPr>
          <w:cantSplit/>
        </w:trPr>
        <w:tc>
          <w:tcPr>
            <w:tcW w:type="dxa" w:w="1680"/>
            <w:vAlign w:val="center"/>
            <w:shd w:fill="F5F7F9"/>
          </w:tcPr>
          <w:p>
            <w:pPr>
              <w:keepNext/>
              <w:spacing w:before="60" w:after="60"/>
            </w:pPr>
            <w:r>
              <w:rPr>
                <w:b w:val="0"/>
                <w:sz w:val="19"/>
              </w:rPr>
              <w:t>Heavy tails</w:t>
            </w:r>
          </w:p>
        </w:tc>
        <w:tc>
          <w:tcPr>
            <w:tcW w:type="dxa" w:w="1680"/>
            <w:vAlign w:val="center"/>
            <w:shd w:fill="F5F7F9"/>
          </w:tcPr>
          <w:p>
            <w:pPr>
              <w:keepNext/>
              <w:spacing w:before="60" w:after="60"/>
            </w:pPr>
            <w:r>
              <w:rPr>
                <w:b w:val="0"/>
                <w:sz w:val="19"/>
              </w:rPr>
              <w:t>0.709</w:t>
            </w:r>
          </w:p>
        </w:tc>
        <w:tc>
          <w:tcPr>
            <w:tcW w:type="dxa" w:w="1680"/>
            <w:vAlign w:val="center"/>
            <w:shd w:fill="F5F7F9"/>
          </w:tcPr>
          <w:p>
            <w:pPr>
              <w:keepNext/>
              <w:spacing w:before="60" w:after="60"/>
            </w:pPr>
            <w:r>
              <w:rPr>
                <w:b w:val="0"/>
                <w:sz w:val="19"/>
              </w:rPr>
              <w:t>0.710</w:t>
            </w:r>
          </w:p>
        </w:tc>
        <w:tc>
          <w:tcPr>
            <w:tcW w:type="dxa" w:w="1680"/>
            <w:vAlign w:val="center"/>
            <w:shd w:fill="F5F7F9"/>
          </w:tcPr>
          <w:p>
            <w:pPr>
              <w:keepNext/>
              <w:spacing w:before="60" w:after="60"/>
            </w:pPr>
            <w:r>
              <w:rPr>
                <w:b w:val="0"/>
                <w:sz w:val="19"/>
              </w:rPr>
              <w:t>0.715</w:t>
            </w:r>
          </w:p>
        </w:tc>
        <w:tc>
          <w:tcPr>
            <w:tcW w:type="dxa" w:w="1680"/>
            <w:vAlign w:val="center"/>
            <w:shd w:fill="F5F7F9"/>
          </w:tcPr>
          <w:p>
            <w:pPr>
              <w:keepNext/>
              <w:spacing w:before="60" w:after="60"/>
            </w:pPr>
            <w:r>
              <w:rPr>
                <w:b w:val="0"/>
                <w:sz w:val="19"/>
              </w:rPr>
              <w:t>0.715</w:t>
            </w:r>
          </w:p>
        </w:tc>
        <w:tc>
          <w:tcPr>
            <w:tcW w:type="dxa" w:w="1680"/>
            <w:vAlign w:val="center"/>
            <w:shd w:fill="F5F7F9"/>
          </w:tcPr>
          <w:p>
            <w:pPr>
              <w:keepNext/>
              <w:spacing w:before="60" w:after="60"/>
            </w:pPr>
            <w:r>
              <w:rPr>
                <w:b w:val="0"/>
                <w:sz w:val="19"/>
              </w:rPr>
              <w:t>0.732</w:t>
            </w:r>
          </w:p>
        </w:tc>
      </w:tr>
      <w:tr>
        <w:trPr>
          <w:cantSplit/>
        </w:trPr>
        <w:tc>
          <w:tcPr>
            <w:tcW w:type="dxa" w:w="1680"/>
            <w:vAlign w:val="center"/>
            <w:shd w:fill="FFFFFF"/>
          </w:tcPr>
          <w:p>
            <w:pPr>
              <w:keepNext w:val="0"/>
              <w:spacing w:before="60" w:after="60"/>
            </w:pPr>
            <w:r>
              <w:rPr>
                <w:b w:val="0"/>
                <w:sz w:val="19"/>
              </w:rPr>
              <w:t>Dependence change only</w:t>
            </w:r>
          </w:p>
        </w:tc>
        <w:tc>
          <w:tcPr>
            <w:tcW w:type="dxa" w:w="1680"/>
            <w:vAlign w:val="center"/>
            <w:shd w:fill="FFFFFF"/>
          </w:tcPr>
          <w:p>
            <w:pPr>
              <w:keepNext w:val="0"/>
              <w:spacing w:before="60" w:after="60"/>
            </w:pPr>
            <w:r>
              <w:rPr>
                <w:b w:val="0"/>
                <w:sz w:val="19"/>
              </w:rPr>
              <w:t>0.500</w:t>
            </w:r>
          </w:p>
        </w:tc>
        <w:tc>
          <w:tcPr>
            <w:tcW w:type="dxa" w:w="1680"/>
            <w:vAlign w:val="center"/>
            <w:shd w:fill="FFFFFF"/>
          </w:tcPr>
          <w:p>
            <w:pPr>
              <w:keepNext w:val="0"/>
              <w:spacing w:before="60" w:after="60"/>
            </w:pPr>
            <w:r>
              <w:rPr>
                <w:b w:val="0"/>
                <w:sz w:val="19"/>
              </w:rPr>
              <w:t>0.499</w:t>
            </w:r>
          </w:p>
        </w:tc>
        <w:tc>
          <w:tcPr>
            <w:tcW w:type="dxa" w:w="1680"/>
            <w:vAlign w:val="center"/>
            <w:shd w:fill="FFFFFF"/>
          </w:tcPr>
          <w:p>
            <w:pPr>
              <w:keepNext w:val="0"/>
              <w:spacing w:before="60" w:after="60"/>
            </w:pPr>
            <w:r>
              <w:rPr>
                <w:b w:val="0"/>
                <w:sz w:val="19"/>
              </w:rPr>
              <w:t>0.498</w:t>
            </w:r>
          </w:p>
        </w:tc>
        <w:tc>
          <w:tcPr>
            <w:tcW w:type="dxa" w:w="1680"/>
            <w:vAlign w:val="center"/>
            <w:shd w:fill="FFFFFF"/>
          </w:tcPr>
          <w:p>
            <w:pPr>
              <w:keepNext w:val="0"/>
              <w:spacing w:before="60" w:after="60"/>
            </w:pPr>
            <w:r>
              <w:rPr>
                <w:b w:val="0"/>
                <w:sz w:val="19"/>
              </w:rPr>
              <w:t>0.499</w:t>
            </w:r>
          </w:p>
        </w:tc>
        <w:tc>
          <w:tcPr>
            <w:tcW w:type="dxa" w:w="1680"/>
            <w:vAlign w:val="center"/>
            <w:shd w:fill="FFFFFF"/>
          </w:tcPr>
          <w:p>
            <w:pPr>
              <w:keepNext w:val="0"/>
              <w:spacing w:before="60" w:after="60"/>
            </w:pPr>
            <w:r>
              <w:rPr>
                <w:b w:val="0"/>
                <w:sz w:val="19"/>
              </w:rPr>
              <w:t>0.497</w:t>
            </w:r>
          </w:p>
        </w:tc>
      </w:tr>
    </w:tbl>
    <w:p>
      <w:pPr>
        <w:pStyle w:val="BodyText"/>
      </w:pPr>
      <w:r>
        <w:t xml:space="preserve">Paired contrasts isolate differences between methods from variation in the generated cohorts. A positive ROC-AUC difference favours the copula pipeline. The intervals are based on only 30 independently generated pairs per setting and should be interpreted alongside their magnitude, recovery scores and computation rather than as a ranking of universal superiority.</w:t>
      </w:r>
    </w:p>
    <w:p>
      <w:pPr>
        <w:pStyle w:val="BodyText"/>
        <w:keepNext/>
      </w:pPr>
      <w:r>
        <w:t xml:space="preserve">Table 2. Copula minus mixed-likelihood MOFA+ ROC-AUC difference, paired bootstrap interval and mean Brier scores at training N = 360. Lower Brier scores are preferable.</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shd w:fill="E8EFF4"/>
          </w:tcPr>
          <w:p>
            <w:pPr>
              <w:keepNext/>
              <w:spacing w:before="60" w:after="60"/>
            </w:pPr>
            <w:r>
              <w:rPr>
                <w:b/>
                <w:sz w:val="19"/>
              </w:rPr>
              <w:t>Mechanism</w:t>
            </w:r>
          </w:p>
        </w:tc>
        <w:tc>
          <w:tcPr>
            <w:tcW w:type="dxa" w:w="2016"/>
            <w:vAlign w:val="center"/>
            <w:shd w:fill="E8EFF4"/>
          </w:tcPr>
          <w:p>
            <w:pPr>
              <w:keepNext/>
              <w:spacing w:before="60" w:after="60"/>
            </w:pPr>
            <w:r>
              <w:rPr>
                <w:b/>
                <w:sz w:val="19"/>
              </w:rPr>
              <w:t>AUC difference</w:t>
            </w:r>
          </w:p>
        </w:tc>
        <w:tc>
          <w:tcPr>
            <w:tcW w:type="dxa" w:w="2016"/>
            <w:vAlign w:val="center"/>
            <w:shd w:fill="E8EFF4"/>
          </w:tcPr>
          <w:p>
            <w:pPr>
              <w:keepNext/>
              <w:spacing w:before="60" w:after="60"/>
            </w:pPr>
            <w:r>
              <w:rPr>
                <w:b/>
                <w:sz w:val="19"/>
              </w:rPr>
              <w:t>95% paired interval</w:t>
            </w:r>
          </w:p>
        </w:tc>
        <w:tc>
          <w:tcPr>
            <w:tcW w:type="dxa" w:w="2016"/>
            <w:vAlign w:val="center"/>
            <w:shd w:fill="E8EFF4"/>
          </w:tcPr>
          <w:p>
            <w:pPr>
              <w:keepNext/>
              <w:spacing w:before="60" w:after="60"/>
            </w:pPr>
            <w:r>
              <w:rPr>
                <w:b/>
                <w:sz w:val="19"/>
              </w:rPr>
              <w:t>MOFA+ Brier</w:t>
            </w:r>
          </w:p>
        </w:tc>
        <w:tc>
          <w:tcPr>
            <w:tcW w:type="dxa" w:w="2016"/>
            <w:vAlign w:val="center"/>
            <w:shd w:fill="E8EFF4"/>
          </w:tcPr>
          <w:p>
            <w:pPr>
              <w:keepNext/>
              <w:spacing w:before="60" w:after="60"/>
            </w:pPr>
            <w:r>
              <w:rPr>
                <w:b/>
                <w:sz w:val="19"/>
              </w:rPr>
              <w:t>Copula Brier</w:t>
            </w:r>
          </w:p>
        </w:tc>
      </w:tr>
      <w:tr>
        <w:trPr>
          <w:cantSplit/>
        </w:trPr>
        <w:tc>
          <w:tcPr>
            <w:tcW w:type="dxa" w:w="2016"/>
            <w:vAlign w:val="center"/>
            <w:shd w:fill="F5F7F9"/>
          </w:tcPr>
          <w:p>
            <w:pPr>
              <w:keepNext/>
              <w:spacing w:before="60" w:after="60"/>
            </w:pPr>
            <w:r>
              <w:rPr>
                <w:b w:val="0"/>
                <w:sz w:val="19"/>
              </w:rPr>
              <w:t>Regular</w:t>
            </w:r>
          </w:p>
        </w:tc>
        <w:tc>
          <w:tcPr>
            <w:tcW w:type="dxa" w:w="2016"/>
            <w:vAlign w:val="center"/>
            <w:shd w:fill="F5F7F9"/>
          </w:tcPr>
          <w:p>
            <w:pPr>
              <w:keepNext/>
              <w:spacing w:before="60" w:after="60"/>
            </w:pPr>
            <w:r>
              <w:rPr>
                <w:b w:val="0"/>
                <w:sz w:val="19"/>
              </w:rPr>
              <w:t>+0.002</w:t>
            </w:r>
          </w:p>
        </w:tc>
        <w:tc>
          <w:tcPr>
            <w:tcW w:type="dxa" w:w="2016"/>
            <w:vAlign w:val="center"/>
            <w:shd w:fill="F5F7F9"/>
          </w:tcPr>
          <w:p>
            <w:pPr>
              <w:keepNext/>
              <w:spacing w:before="60" w:after="60"/>
            </w:pPr>
            <w:r>
              <w:rPr>
                <w:b w:val="0"/>
                <w:sz w:val="19"/>
              </w:rPr>
              <w:t>-0.002 to +0.005</w:t>
            </w:r>
          </w:p>
        </w:tc>
        <w:tc>
          <w:tcPr>
            <w:tcW w:type="dxa" w:w="2016"/>
            <w:vAlign w:val="center"/>
            <w:shd w:fill="F5F7F9"/>
          </w:tcPr>
          <w:p>
            <w:pPr>
              <w:keepNext/>
              <w:spacing w:before="60" w:after="60"/>
            </w:pPr>
            <w:r>
              <w:rPr>
                <w:b w:val="0"/>
                <w:sz w:val="19"/>
              </w:rPr>
              <w:t>0.186</w:t>
            </w:r>
          </w:p>
        </w:tc>
        <w:tc>
          <w:tcPr>
            <w:tcW w:type="dxa" w:w="2016"/>
            <w:vAlign w:val="center"/>
            <w:shd w:fill="F5F7F9"/>
          </w:tcPr>
          <w:p>
            <w:pPr>
              <w:keepNext/>
              <w:spacing w:before="60" w:after="60"/>
            </w:pPr>
            <w:r>
              <w:rPr>
                <w:b w:val="0"/>
                <w:sz w:val="19"/>
              </w:rPr>
              <w:t>0.185</w:t>
            </w:r>
          </w:p>
        </w:tc>
      </w:tr>
      <w:tr>
        <w:trPr>
          <w:cantSplit/>
        </w:trPr>
        <w:tc>
          <w:tcPr>
            <w:tcW w:type="dxa" w:w="2016"/>
            <w:vAlign w:val="center"/>
            <w:shd w:fill="FFFFFF"/>
          </w:tcPr>
          <w:p>
            <w:pPr>
              <w:keepNext/>
              <w:spacing w:before="60" w:after="60"/>
            </w:pPr>
            <w:r>
              <w:rPr>
                <w:b w:val="0"/>
                <w:sz w:val="19"/>
              </w:rPr>
              <w:t>Skewed</w:t>
            </w:r>
          </w:p>
        </w:tc>
        <w:tc>
          <w:tcPr>
            <w:tcW w:type="dxa" w:w="2016"/>
            <w:vAlign w:val="center"/>
            <w:shd w:fill="FFFFFF"/>
          </w:tcPr>
          <w:p>
            <w:pPr>
              <w:keepNext/>
              <w:spacing w:before="60" w:after="60"/>
            </w:pPr>
            <w:r>
              <w:rPr>
                <w:b w:val="0"/>
                <w:sz w:val="19"/>
              </w:rPr>
              <w:t>+0.005</w:t>
            </w:r>
          </w:p>
        </w:tc>
        <w:tc>
          <w:tcPr>
            <w:tcW w:type="dxa" w:w="2016"/>
            <w:vAlign w:val="center"/>
            <w:shd w:fill="FFFFFF"/>
          </w:tcPr>
          <w:p>
            <w:pPr>
              <w:keepNext/>
              <w:spacing w:before="60" w:after="60"/>
            </w:pPr>
            <w:r>
              <w:rPr>
                <w:b w:val="0"/>
                <w:sz w:val="19"/>
              </w:rPr>
              <w:t>+0.001 to +0.009</w:t>
            </w:r>
          </w:p>
        </w:tc>
        <w:tc>
          <w:tcPr>
            <w:tcW w:type="dxa" w:w="2016"/>
            <w:vAlign w:val="center"/>
            <w:shd w:fill="FFFFFF"/>
          </w:tcPr>
          <w:p>
            <w:pPr>
              <w:keepNext/>
              <w:spacing w:before="60" w:after="60"/>
            </w:pPr>
            <w:r>
              <w:rPr>
                <w:b w:val="0"/>
                <w:sz w:val="19"/>
              </w:rPr>
              <w:t>0.190</w:t>
            </w:r>
          </w:p>
        </w:tc>
        <w:tc>
          <w:tcPr>
            <w:tcW w:type="dxa" w:w="2016"/>
            <w:vAlign w:val="center"/>
            <w:shd w:fill="FFFFFF"/>
          </w:tcPr>
          <w:p>
            <w:pPr>
              <w:keepNext/>
              <w:spacing w:before="60" w:after="60"/>
            </w:pPr>
            <w:r>
              <w:rPr>
                <w:b w:val="0"/>
                <w:sz w:val="19"/>
              </w:rPr>
              <w:t>0.189</w:t>
            </w:r>
          </w:p>
        </w:tc>
      </w:tr>
      <w:tr>
        <w:trPr>
          <w:cantSplit/>
        </w:trPr>
        <w:tc>
          <w:tcPr>
            <w:tcW w:type="dxa" w:w="2016"/>
            <w:vAlign w:val="center"/>
            <w:shd w:fill="F5F7F9"/>
          </w:tcPr>
          <w:p>
            <w:pPr>
              <w:keepNext/>
              <w:spacing w:before="60" w:after="60"/>
            </w:pPr>
            <w:r>
              <w:rPr>
                <w:b w:val="0"/>
                <w:sz w:val="19"/>
              </w:rPr>
              <w:t>Technical variation</w:t>
            </w:r>
          </w:p>
        </w:tc>
        <w:tc>
          <w:tcPr>
            <w:tcW w:type="dxa" w:w="2016"/>
            <w:vAlign w:val="center"/>
            <w:shd w:fill="F5F7F9"/>
          </w:tcPr>
          <w:p>
            <w:pPr>
              <w:keepNext/>
              <w:spacing w:before="60" w:after="60"/>
            </w:pPr>
            <w:r>
              <w:rPr>
                <w:b w:val="0"/>
                <w:sz w:val="19"/>
              </w:rPr>
              <w:t>-0.001</w:t>
            </w:r>
          </w:p>
        </w:tc>
        <w:tc>
          <w:tcPr>
            <w:tcW w:type="dxa" w:w="2016"/>
            <w:vAlign w:val="center"/>
            <w:shd w:fill="F5F7F9"/>
          </w:tcPr>
          <w:p>
            <w:pPr>
              <w:keepNext/>
              <w:spacing w:before="60" w:after="60"/>
            </w:pPr>
            <w:r>
              <w:rPr>
                <w:b w:val="0"/>
                <w:sz w:val="19"/>
              </w:rPr>
              <w:t>-0.003 to +0.000</w:t>
            </w:r>
          </w:p>
        </w:tc>
        <w:tc>
          <w:tcPr>
            <w:tcW w:type="dxa" w:w="2016"/>
            <w:vAlign w:val="center"/>
            <w:shd w:fill="F5F7F9"/>
          </w:tcPr>
          <w:p>
            <w:pPr>
              <w:keepNext/>
              <w:spacing w:before="60" w:after="60"/>
            </w:pPr>
            <w:r>
              <w:rPr>
                <w:b w:val="0"/>
                <w:sz w:val="19"/>
              </w:rPr>
              <w:t>0.185</w:t>
            </w:r>
          </w:p>
        </w:tc>
        <w:tc>
          <w:tcPr>
            <w:tcW w:type="dxa" w:w="2016"/>
            <w:vAlign w:val="center"/>
            <w:shd w:fill="F5F7F9"/>
          </w:tcPr>
          <w:p>
            <w:pPr>
              <w:keepNext/>
              <w:spacing w:before="60" w:after="60"/>
            </w:pPr>
            <w:r>
              <w:rPr>
                <w:b w:val="0"/>
                <w:sz w:val="19"/>
              </w:rPr>
              <w:t>0.186</w:t>
            </w:r>
          </w:p>
        </w:tc>
      </w:tr>
      <w:tr>
        <w:trPr>
          <w:cantSplit/>
        </w:trPr>
        <w:tc>
          <w:tcPr>
            <w:tcW w:type="dxa" w:w="2016"/>
            <w:vAlign w:val="center"/>
            <w:shd w:fill="FFFFFF"/>
          </w:tcPr>
          <w:p>
            <w:pPr>
              <w:keepNext/>
              <w:spacing w:before="60" w:after="60"/>
            </w:pPr>
            <w:r>
              <w:rPr>
                <w:b w:val="0"/>
                <w:sz w:val="19"/>
              </w:rPr>
              <w:t>Missing proteins</w:t>
            </w:r>
          </w:p>
        </w:tc>
        <w:tc>
          <w:tcPr>
            <w:tcW w:type="dxa" w:w="2016"/>
            <w:vAlign w:val="center"/>
            <w:shd w:fill="FFFFFF"/>
          </w:tcPr>
          <w:p>
            <w:pPr>
              <w:keepNext/>
              <w:spacing w:before="60" w:after="60"/>
            </w:pPr>
            <w:r>
              <w:rPr>
                <w:b w:val="0"/>
                <w:sz w:val="19"/>
              </w:rPr>
              <w:t>+0.001</w:t>
            </w:r>
          </w:p>
        </w:tc>
        <w:tc>
          <w:tcPr>
            <w:tcW w:type="dxa" w:w="2016"/>
            <w:vAlign w:val="center"/>
            <w:shd w:fill="FFFFFF"/>
          </w:tcPr>
          <w:p>
            <w:pPr>
              <w:keepNext/>
              <w:spacing w:before="60" w:after="60"/>
            </w:pPr>
            <w:r>
              <w:rPr>
                <w:b w:val="0"/>
                <w:sz w:val="19"/>
              </w:rPr>
              <w:t>-0.001 to +0.002</w:t>
            </w:r>
          </w:p>
        </w:tc>
        <w:tc>
          <w:tcPr>
            <w:tcW w:type="dxa" w:w="2016"/>
            <w:vAlign w:val="center"/>
            <w:shd w:fill="FFFFFF"/>
          </w:tcPr>
          <w:p>
            <w:pPr>
              <w:keepNext/>
              <w:spacing w:before="60" w:after="60"/>
            </w:pPr>
            <w:r>
              <w:rPr>
                <w:b w:val="0"/>
                <w:sz w:val="19"/>
              </w:rPr>
              <w:t>0.187</w:t>
            </w:r>
          </w:p>
        </w:tc>
        <w:tc>
          <w:tcPr>
            <w:tcW w:type="dxa" w:w="2016"/>
            <w:vAlign w:val="center"/>
            <w:shd w:fill="FFFFFF"/>
          </w:tcPr>
          <w:p>
            <w:pPr>
              <w:keepNext/>
              <w:spacing w:before="60" w:after="60"/>
            </w:pPr>
            <w:r>
              <w:rPr>
                <w:b w:val="0"/>
                <w:sz w:val="19"/>
              </w:rPr>
              <w:t>0.188</w:t>
            </w:r>
          </w:p>
        </w:tc>
      </w:tr>
      <w:tr>
        <w:trPr>
          <w:cantSplit/>
        </w:trPr>
        <w:tc>
          <w:tcPr>
            <w:tcW w:type="dxa" w:w="2016"/>
            <w:vAlign w:val="center"/>
            <w:shd w:fill="F5F7F9"/>
          </w:tcPr>
          <w:p>
            <w:pPr>
              <w:keepNext/>
              <w:spacing w:before="60" w:after="60"/>
            </w:pPr>
            <w:r>
              <w:rPr>
                <w:b w:val="0"/>
                <w:sz w:val="19"/>
              </w:rPr>
              <w:t>Heavy tails</w:t>
            </w:r>
          </w:p>
        </w:tc>
        <w:tc>
          <w:tcPr>
            <w:tcW w:type="dxa" w:w="2016"/>
            <w:vAlign w:val="center"/>
            <w:shd w:fill="F5F7F9"/>
          </w:tcPr>
          <w:p>
            <w:pPr>
              <w:keepNext/>
              <w:spacing w:before="60" w:after="60"/>
            </w:pPr>
            <w:r>
              <w:rPr>
                <w:b w:val="0"/>
                <w:sz w:val="19"/>
              </w:rPr>
              <w:t>+0.006</w:t>
            </w:r>
          </w:p>
        </w:tc>
        <w:tc>
          <w:tcPr>
            <w:tcW w:type="dxa" w:w="2016"/>
            <w:vAlign w:val="center"/>
            <w:shd w:fill="F5F7F9"/>
          </w:tcPr>
          <w:p>
            <w:pPr>
              <w:keepNext/>
              <w:spacing w:before="60" w:after="60"/>
            </w:pPr>
            <w:r>
              <w:rPr>
                <w:b w:val="0"/>
                <w:sz w:val="19"/>
              </w:rPr>
              <w:t>+0.002 to +0.010</w:t>
            </w:r>
          </w:p>
        </w:tc>
        <w:tc>
          <w:tcPr>
            <w:tcW w:type="dxa" w:w="2016"/>
            <w:vAlign w:val="center"/>
            <w:shd w:fill="F5F7F9"/>
          </w:tcPr>
          <w:p>
            <w:pPr>
              <w:keepNext/>
              <w:spacing w:before="60" w:after="60"/>
            </w:pPr>
            <w:r>
              <w:rPr>
                <w:b w:val="0"/>
                <w:sz w:val="19"/>
              </w:rPr>
              <w:t>0.189</w:t>
            </w:r>
          </w:p>
        </w:tc>
        <w:tc>
          <w:tcPr>
            <w:tcW w:type="dxa" w:w="2016"/>
            <w:vAlign w:val="center"/>
            <w:shd w:fill="F5F7F9"/>
          </w:tcPr>
          <w:p>
            <w:pPr>
              <w:keepNext/>
              <w:spacing w:before="60" w:after="60"/>
            </w:pPr>
            <w:r>
              <w:rPr>
                <w:b w:val="0"/>
                <w:sz w:val="19"/>
              </w:rPr>
              <w:t>0.188</w:t>
            </w:r>
          </w:p>
        </w:tc>
      </w:tr>
      <w:tr>
        <w:trPr>
          <w:cantSplit/>
        </w:trPr>
        <w:tc>
          <w:tcPr>
            <w:tcW w:type="dxa" w:w="2016"/>
            <w:vAlign w:val="center"/>
            <w:shd w:fill="FFFFFF"/>
          </w:tcPr>
          <w:p>
            <w:pPr>
              <w:keepNext w:val="0"/>
              <w:spacing w:before="60" w:after="60"/>
            </w:pPr>
            <w:r>
              <w:rPr>
                <w:b w:val="0"/>
                <w:sz w:val="19"/>
              </w:rPr>
              <w:t>Dependence change only</w:t>
            </w:r>
          </w:p>
        </w:tc>
        <w:tc>
          <w:tcPr>
            <w:tcW w:type="dxa" w:w="2016"/>
            <w:vAlign w:val="center"/>
            <w:shd w:fill="FFFFFF"/>
          </w:tcPr>
          <w:p>
            <w:pPr>
              <w:keepNext w:val="0"/>
              <w:spacing w:before="60" w:after="60"/>
            </w:pPr>
            <w:r>
              <w:rPr>
                <w:b w:val="0"/>
                <w:sz w:val="19"/>
              </w:rPr>
              <w:t>-0.001</w:t>
            </w:r>
          </w:p>
        </w:tc>
        <w:tc>
          <w:tcPr>
            <w:tcW w:type="dxa" w:w="2016"/>
            <w:vAlign w:val="center"/>
            <w:shd w:fill="FFFFFF"/>
          </w:tcPr>
          <w:p>
            <w:pPr>
              <w:keepNext w:val="0"/>
              <w:spacing w:before="60" w:after="60"/>
            </w:pPr>
            <w:r>
              <w:rPr>
                <w:b w:val="0"/>
                <w:sz w:val="19"/>
              </w:rPr>
              <w:t>-0.008 to +0.004</w:t>
            </w:r>
          </w:p>
        </w:tc>
        <w:tc>
          <w:tcPr>
            <w:tcW w:type="dxa" w:w="2016"/>
            <w:vAlign w:val="center"/>
            <w:shd w:fill="FFFFFF"/>
          </w:tcPr>
          <w:p>
            <w:pPr>
              <w:keepNext w:val="0"/>
              <w:spacing w:before="60" w:after="60"/>
            </w:pPr>
            <w:r>
              <w:rPr>
                <w:b w:val="0"/>
                <w:sz w:val="19"/>
              </w:rPr>
              <w:t>0.216</w:t>
            </w:r>
          </w:p>
        </w:tc>
        <w:tc>
          <w:tcPr>
            <w:tcW w:type="dxa" w:w="2016"/>
            <w:vAlign w:val="center"/>
            <w:shd w:fill="FFFFFF"/>
          </w:tcPr>
          <w:p>
            <w:pPr>
              <w:keepNext w:val="0"/>
              <w:spacing w:before="60" w:after="60"/>
            </w:pPr>
            <w:r>
              <w:rPr>
                <w:b w:val="0"/>
                <w:sz w:val="19"/>
              </w:rPr>
              <w:t>0.216</w:t>
            </w:r>
          </w:p>
        </w:tc>
      </w:tr>
    </w:tbl>
    <w:p>
      <w:pPr>
        <w:pStyle w:val="BodyText"/>
        <w:keepNext/>
        <w:jc w:val="center"/>
      </w:pPr>
      <w:r>
        <w:drawing>
          <wp:inline>
            <wp:extent cx="5852160" cy="6863313"/>
            <wp:effectExtent b="0" l="0" r="0" t="0"/>
            <wp:docPr descr="" title="" id="32" name="Picture"/>
            <a:graphic>
              <a:graphicData uri="http://schemas.openxmlformats.org/drawingml/2006/picture">
                <pic:pic>
                  <pic:nvPicPr>
                    <pic:cNvPr descr="../figures/prediction.png" id="33" name="Picture"/>
                    <pic:cNvPicPr>
                      <a:picLocks noChangeArrowheads="1" noChangeAspect="1"/>
                    </pic:cNvPicPr>
                  </pic:nvPicPr>
                  <pic:blipFill>
                    <a:blip r:embed="rId31"/>
                    <a:stretch>
                      <a:fillRect/>
                    </a:stretch>
                  </pic:blipFill>
                  <pic:spPr bwMode="auto">
                    <a:xfrm>
                      <a:off x="0" y="0"/>
                      <a:ext cx="5852160" cy="6863313"/>
                    </a:xfrm>
                    <a:prstGeom prst="rect">
                      <a:avLst/>
                    </a:prstGeom>
                    <a:noFill/>
                    <a:ln w="9525">
                      <a:noFill/>
                      <a:headEnd/>
                      <a:tailEnd/>
                    </a:ln>
                  </pic:spPr>
                </pic:pic>
              </a:graphicData>
            </a:graphic>
          </wp:inline>
        </w:drawing>
      </w:r>
    </w:p>
    <w:p>
      <w:pPr>
        <w:pStyle w:val="BodyText"/>
        <w:spacing w:after="180"/>
      </w:pPr>
      <w:r>
        <w:t xml:space="preserve">Figure 3. Mean ROC AUC and Monte Carlo error bars. The covariate-only reference includes clinical and technical covariates. Chance-level discrimination is 0.5. An additive classifier is deliberately not expected to identify the pure dependence-change mechanism.</w:t>
      </w:r>
    </w:p>
    <w:p>
      <w:pPr>
        <w:pStyle w:val="BodyText"/>
        <w:keepNext/>
        <w:jc w:val="center"/>
      </w:pPr>
      <w:r>
        <w:drawing>
          <wp:inline>
            <wp:extent cx="5852160" cy="5168371"/>
            <wp:effectExtent b="0" l="0" r="0" t="0"/>
            <wp:docPr descr="" title="" id="35" name="Picture"/>
            <a:graphic>
              <a:graphicData uri="http://schemas.openxmlformats.org/drawingml/2006/picture">
                <pic:pic>
                  <pic:nvPicPr>
                    <pic:cNvPr descr="../figures/paired_auc.png" id="36" name="Picture"/>
                    <pic:cNvPicPr>
                      <a:picLocks noChangeArrowheads="1" noChangeAspect="1"/>
                    </pic:cNvPicPr>
                  </pic:nvPicPr>
                  <pic:blipFill>
                    <a:blip r:embed="rId34"/>
                    <a:stretch>
                      <a:fillRect/>
                    </a:stretch>
                  </pic:blipFill>
                  <pic:spPr bwMode="auto">
                    <a:xfrm>
                      <a:off x="0" y="0"/>
                      <a:ext cx="5852160" cy="5168371"/>
                    </a:xfrm>
                    <a:prstGeom prst="rect">
                      <a:avLst/>
                    </a:prstGeom>
                    <a:noFill/>
                    <a:ln w="9525">
                      <a:noFill/>
                      <a:headEnd/>
                      <a:tailEnd/>
                    </a:ln>
                  </pic:spPr>
                </pic:pic>
              </a:graphicData>
            </a:graphic>
          </wp:inline>
        </w:drawing>
      </w:r>
    </w:p>
    <w:p>
      <w:pPr>
        <w:pStyle w:val="BodyText"/>
        <w:spacing w:after="180"/>
      </w:pPr>
      <w:r>
        <w:t xml:space="preserve">Figure 4. Copula minus comparator ROC AUC with 2,000-resample paired percentile intervals. No adjustment for multiple contrasts was applied. The comparison is intended to reveal where differences arise, not to select favourable settings after inspection.</w:t>
      </w:r>
    </w:p>
    <w:bookmarkEnd w:id="37"/>
    <w:bookmarkStart w:id="44" w:name="X7a1b01524e134227b1ae269e2081bcf14f63042"/>
    <w:p>
      <w:pPr>
        <w:pStyle w:val="Heading3"/>
        <w:keepNext/>
      </w:pPr>
      <w:r>
        <w:t xml:space="preserve">Dependence estimation and computational diagnostics</w:t>
      </w:r>
    </w:p>
    <w:p>
      <w:pPr>
        <w:pStyle w:val="FirstParagraph"/>
      </w:pPr>
      <w:r>
        <w:t xml:space="preserve">The fixed example shows the generating and estimated latent correlation patterns. Some genomic correlations are weakly informed because alteration indicators are sparse. A visually plausible correlation map alone does not establish factor recovery, posterior convergence or biological validity.</w:t>
      </w:r>
    </w:p>
    <w:p>
      <w:pPr>
        <w:pStyle w:val="BodyText"/>
        <w:keepNext/>
        <w:jc w:val="center"/>
      </w:pPr>
      <w:r>
        <w:drawing>
          <wp:inline>
            <wp:extent cx="5852160" cy="4618436"/>
            <wp:effectExtent b="0" l="0" r="0" t="0"/>
            <wp:docPr descr="" title="" id="39" name="Picture"/>
            <a:graphic>
              <a:graphicData uri="http://schemas.openxmlformats.org/drawingml/2006/picture">
                <pic:pic>
                  <pic:nvPicPr>
                    <pic:cNvPr descr="../figures/dependence_example.png" id="40" name="Picture"/>
                    <pic:cNvPicPr>
                      <a:picLocks noChangeArrowheads="1" noChangeAspect="1"/>
                    </pic:cNvPicPr>
                  </pic:nvPicPr>
                  <pic:blipFill>
                    <a:blip r:embed="rId38"/>
                    <a:stretch>
                      <a:fillRect/>
                    </a:stretch>
                  </pic:blipFill>
                  <pic:spPr bwMode="auto">
                    <a:xfrm>
                      <a:off x="0" y="0"/>
                      <a:ext cx="5852160" cy="4618436"/>
                    </a:xfrm>
                    <a:prstGeom prst="rect">
                      <a:avLst/>
                    </a:prstGeom>
                    <a:noFill/>
                    <a:ln w="9525">
                      <a:noFill/>
                      <a:headEnd/>
                      <a:tailEnd/>
                    </a:ln>
                  </pic:spPr>
                </pic:pic>
              </a:graphicData>
            </a:graphic>
          </wp:inline>
        </w:drawing>
      </w:r>
    </w:p>
    <w:p>
      <w:pPr>
        <w:pStyle w:val="BodyText"/>
        <w:spacing w:after="180"/>
      </w:pPr>
      <w:r>
        <w:t xml:space="preserve">Figure 5. First regular-setting replicate at training N = 180, chosen by design order. Black lines separate germline, somatic, RNA and protein views. The trace displays one of 16 prespecified monitored correlation entries and is not a diagnostic of every model parameter.</w:t>
      </w:r>
    </w:p>
    <w:p>
      <w:pPr>
        <w:pStyle w:val="BodyText"/>
      </w:pPr>
      <w:r>
        <w:t xml:space="preserve">The benchmark produced 2,160 method records with 0 failed fits. Of 360 successful copula fits, 4 required the prespecified sampling extension and 0 retained a monitored Rhat flag. Diagnostic flags are retained in the primary summaries, preventing convergence-based selection from concealing difficult settings. Successful computation is not synonymous with a validated model.</w:t>
      </w:r>
    </w:p>
    <w:p>
      <w:pPr>
        <w:pStyle w:val="BodyText"/>
        <w:keepNext/>
      </w:pPr>
      <w:r>
        <w:t xml:space="preserve">Table 3. Successful fits, unresolved diagnostic flags and median elapsed time. Timing includes fitting and projection and was measured during concurrent execution on the local workstation.</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shd w:fill="E8EFF4"/>
          </w:tcPr>
          <w:p>
            <w:pPr>
              <w:keepNext/>
              <w:spacing w:before="60" w:after="60"/>
            </w:pPr>
            <w:r>
              <w:rPr>
                <w:b/>
                <w:sz w:val="19"/>
              </w:rPr>
              <w:t>Method</w:t>
            </w:r>
          </w:p>
        </w:tc>
        <w:tc>
          <w:tcPr>
            <w:tcW w:type="dxa" w:w="2520"/>
            <w:vAlign w:val="center"/>
            <w:shd w:fill="E8EFF4"/>
          </w:tcPr>
          <w:p>
            <w:pPr>
              <w:keepNext/>
              <w:spacing w:before="60" w:after="60"/>
            </w:pPr>
            <w:r>
              <w:rPr>
                <w:b/>
                <w:sz w:val="19"/>
              </w:rPr>
              <w:t>Successful fits</w:t>
            </w:r>
          </w:p>
        </w:tc>
        <w:tc>
          <w:tcPr>
            <w:tcW w:type="dxa" w:w="2520"/>
            <w:vAlign w:val="center"/>
            <w:shd w:fill="E8EFF4"/>
          </w:tcPr>
          <w:p>
            <w:pPr>
              <w:keepNext/>
              <w:spacing w:before="60" w:after="60"/>
            </w:pPr>
            <w:r>
              <w:rPr>
                <w:b/>
                <w:sz w:val="19"/>
              </w:rPr>
              <w:t>Diagnostic flags</w:t>
            </w:r>
          </w:p>
        </w:tc>
        <w:tc>
          <w:tcPr>
            <w:tcW w:type="dxa" w:w="2520"/>
            <w:vAlign w:val="center"/>
            <w:shd w:fill="E8EFF4"/>
          </w:tcPr>
          <w:p>
            <w:pPr>
              <w:keepNext/>
              <w:spacing w:before="60" w:after="60"/>
            </w:pPr>
            <w:r>
              <w:rPr>
                <w:b/>
                <w:sz w:val="19"/>
              </w:rPr>
              <w:t>Median seconds</w:t>
            </w:r>
          </w:p>
        </w:tc>
      </w:tr>
      <w:tr>
        <w:trPr>
          <w:cantSplit/>
        </w:trPr>
        <w:tc>
          <w:tcPr>
            <w:tcW w:type="dxa" w:w="2520"/>
            <w:vAlign w:val="center"/>
            <w:shd w:fill="F5F7F9"/>
          </w:tcPr>
          <w:p>
            <w:pPr>
              <w:keepNext/>
              <w:spacing w:before="60" w:after="60"/>
            </w:pPr>
            <w:r>
              <w:rPr>
                <w:b w:val="0"/>
                <w:sz w:val="19"/>
              </w:rPr>
              <w:t>MOFA+</w:t>
            </w:r>
          </w:p>
        </w:tc>
        <w:tc>
          <w:tcPr>
            <w:tcW w:type="dxa" w:w="2520"/>
            <w:vAlign w:val="center"/>
            <w:shd w:fill="F5F7F9"/>
          </w:tcPr>
          <w:p>
            <w:pPr>
              <w:keepNext/>
              <w:spacing w:before="60" w:after="60"/>
            </w:pPr>
            <w:r>
              <w:rPr>
                <w:b w:val="0"/>
                <w:sz w:val="19"/>
              </w:rPr>
              <w:t>360</w:t>
            </w:r>
          </w:p>
        </w:tc>
        <w:tc>
          <w:tcPr>
            <w:tcW w:type="dxa" w:w="2520"/>
            <w:vAlign w:val="center"/>
            <w:shd w:fill="F5F7F9"/>
          </w:tcPr>
          <w:p>
            <w:pPr>
              <w:keepNext/>
              <w:spacing w:before="60" w:after="60"/>
            </w:pPr>
            <w:r>
              <w:rPr>
                <w:b w:val="0"/>
                <w:sz w:val="19"/>
              </w:rPr>
              <w:t>0</w:t>
            </w:r>
          </w:p>
        </w:tc>
        <w:tc>
          <w:tcPr>
            <w:tcW w:type="dxa" w:w="2520"/>
            <w:vAlign w:val="center"/>
            <w:shd w:fill="F5F7F9"/>
          </w:tcPr>
          <w:p>
            <w:pPr>
              <w:keepNext/>
              <w:spacing w:before="60" w:after="60"/>
            </w:pPr>
            <w:r>
              <w:rPr>
                <w:b w:val="0"/>
                <w:sz w:val="19"/>
              </w:rPr>
              <w:t>1.87</w:t>
            </w:r>
          </w:p>
        </w:tc>
      </w:tr>
      <w:tr>
        <w:trPr>
          <w:cantSplit/>
        </w:trPr>
        <w:tc>
          <w:tcPr>
            <w:tcW w:type="dxa" w:w="2520"/>
            <w:vAlign w:val="center"/>
            <w:shd w:fill="FFFFFF"/>
          </w:tcPr>
          <w:p>
            <w:pPr>
              <w:keepNext/>
              <w:spacing w:before="60" w:after="60"/>
            </w:pPr>
            <w:r>
              <w:rPr>
                <w:b w:val="0"/>
                <w:sz w:val="19"/>
              </w:rPr>
              <w:t>MOFA+ Gaussian</w:t>
            </w:r>
          </w:p>
        </w:tc>
        <w:tc>
          <w:tcPr>
            <w:tcW w:type="dxa" w:w="2520"/>
            <w:vAlign w:val="center"/>
            <w:shd w:fill="FFFFFF"/>
          </w:tcPr>
          <w:p>
            <w:pPr>
              <w:keepNext/>
              <w:spacing w:before="60" w:after="60"/>
            </w:pPr>
            <w:r>
              <w:rPr>
                <w:b w:val="0"/>
                <w:sz w:val="19"/>
              </w:rPr>
              <w:t>360</w:t>
            </w:r>
          </w:p>
        </w:tc>
        <w:tc>
          <w:tcPr>
            <w:tcW w:type="dxa" w:w="2520"/>
            <w:vAlign w:val="center"/>
            <w:shd w:fill="FFFFFF"/>
          </w:tcPr>
          <w:p>
            <w:pPr>
              <w:keepNext/>
              <w:spacing w:before="60" w:after="60"/>
            </w:pPr>
            <w:r>
              <w:rPr>
                <w:b w:val="0"/>
                <w:sz w:val="19"/>
              </w:rPr>
              <w:t>0</w:t>
            </w:r>
          </w:p>
        </w:tc>
        <w:tc>
          <w:tcPr>
            <w:tcW w:type="dxa" w:w="2520"/>
            <w:vAlign w:val="center"/>
            <w:shd w:fill="FFFFFF"/>
          </w:tcPr>
          <w:p>
            <w:pPr>
              <w:keepNext/>
              <w:spacing w:before="60" w:after="60"/>
            </w:pPr>
            <w:r>
              <w:rPr>
                <w:b w:val="0"/>
                <w:sz w:val="19"/>
              </w:rPr>
              <w:t>1.76</w:t>
            </w:r>
          </w:p>
        </w:tc>
      </w:tr>
      <w:tr>
        <w:trPr>
          <w:cantSplit/>
        </w:trPr>
        <w:tc>
          <w:tcPr>
            <w:tcW w:type="dxa" w:w="2520"/>
            <w:vAlign w:val="center"/>
            <w:shd w:fill="F5F7F9"/>
          </w:tcPr>
          <w:p>
            <w:pPr>
              <w:keepNext w:val="0"/>
              <w:spacing w:before="60" w:after="60"/>
            </w:pPr>
            <w:r>
              <w:rPr>
                <w:b w:val="0"/>
                <w:sz w:val="19"/>
              </w:rPr>
              <w:t>Copula</w:t>
            </w:r>
          </w:p>
        </w:tc>
        <w:tc>
          <w:tcPr>
            <w:tcW w:type="dxa" w:w="2520"/>
            <w:vAlign w:val="center"/>
            <w:shd w:fill="F5F7F9"/>
          </w:tcPr>
          <w:p>
            <w:pPr>
              <w:keepNext w:val="0"/>
              <w:spacing w:before="60" w:after="60"/>
            </w:pPr>
            <w:r>
              <w:rPr>
                <w:b w:val="0"/>
                <w:sz w:val="19"/>
              </w:rPr>
              <w:t>360</w:t>
            </w:r>
          </w:p>
        </w:tc>
        <w:tc>
          <w:tcPr>
            <w:tcW w:type="dxa" w:w="2520"/>
            <w:vAlign w:val="center"/>
            <w:shd w:fill="F5F7F9"/>
          </w:tcPr>
          <w:p>
            <w:pPr>
              <w:keepNext w:val="0"/>
              <w:spacing w:before="60" w:after="60"/>
            </w:pPr>
            <w:r>
              <w:rPr>
                <w:b w:val="0"/>
                <w:sz w:val="19"/>
              </w:rPr>
              <w:t>0</w:t>
            </w:r>
          </w:p>
        </w:tc>
        <w:tc>
          <w:tcPr>
            <w:tcW w:type="dxa" w:w="2520"/>
            <w:vAlign w:val="center"/>
            <w:shd w:fill="F5F7F9"/>
          </w:tcPr>
          <w:p>
            <w:pPr>
              <w:keepNext w:val="0"/>
              <w:spacing w:before="60" w:after="60"/>
            </w:pPr>
            <w:r>
              <w:rPr>
                <w:b w:val="0"/>
                <w:sz w:val="19"/>
              </w:rPr>
              <w:t>21.37</w:t>
            </w:r>
          </w:p>
        </w:tc>
      </w:tr>
    </w:tbl>
    <w:p>
      <w:pPr>
        <w:pStyle w:val="BodyText"/>
        <w:keepNext/>
        <w:jc w:val="center"/>
      </w:pPr>
      <w:r>
        <w:drawing>
          <wp:inline>
            <wp:extent cx="5852160" cy="3221372"/>
            <wp:effectExtent b="0" l="0" r="0" t="0"/>
            <wp:docPr descr="" title="" id="42" name="Picture"/>
            <a:graphic>
              <a:graphicData uri="http://schemas.openxmlformats.org/drawingml/2006/picture">
                <pic:pic>
                  <pic:nvPicPr>
                    <pic:cNvPr descr="../figures/diagnostics.png" id="43" name="Picture"/>
                    <pic:cNvPicPr>
                      <a:picLocks noChangeArrowheads="1" noChangeAspect="1"/>
                    </pic:cNvPicPr>
                  </pic:nvPicPr>
                  <pic:blipFill>
                    <a:blip r:embed="rId41"/>
                    <a:stretch>
                      <a:fillRect/>
                    </a:stretch>
                  </pic:blipFill>
                  <pic:spPr bwMode="auto">
                    <a:xfrm>
                      <a:off x="0" y="0"/>
                      <a:ext cx="5852160" cy="3221372"/>
                    </a:xfrm>
                    <a:prstGeom prst="rect">
                      <a:avLst/>
                    </a:prstGeom>
                    <a:noFill/>
                    <a:ln w="9525">
                      <a:noFill/>
                      <a:headEnd/>
                      <a:tailEnd/>
                    </a:ln>
                  </pic:spPr>
                </pic:pic>
              </a:graphicData>
            </a:graphic>
          </wp:inline>
        </w:drawing>
      </w:r>
    </w:p>
    <w:p>
      <w:pPr>
        <w:pStyle w:val="BodyText"/>
        <w:spacing w:after="180"/>
      </w:pPr>
      <w:r>
        <w:t xml:space="preserve">Figure 6. Copula maximum split Rhat across the fixed monitored entries and elapsed-time distributions. The dotted diagnostic threshold is 1.10. Runtime boxplots hide outliers for readability; all runtimes remain in the released tables.</w:t>
      </w:r>
    </w:p>
    <w:bookmarkEnd w:id="44"/>
    <w:bookmarkStart w:id="48" w:name="detecting-subtype-specific-coordination"/>
    <w:p>
      <w:pPr>
        <w:pStyle w:val="Heading3"/>
        <w:keepNext/>
      </w:pPr>
      <w:r>
        <w:t xml:space="preserve">Detecting subtype-specific coordination</w:t>
      </w:r>
    </w:p>
    <w:p>
      <w:pPr>
        <w:pStyle w:val="FirstParagraph"/>
      </w:pPr>
      <w:r>
        <w:t xml:space="preserve">The companion experiment tests a dependence change without an abundance shift. Its calibration is separate from factor fitting and subtype classification. A successful dependence test can therefore coexist with chance-level performance of the additive classifier in the dependence-only benchmark.</w:t>
      </w:r>
    </w:p>
    <w:p>
      <w:pPr>
        <w:pStyle w:val="BodyText"/>
      </w:pPr>
      <w:r>
        <w:t xml:space="preserve">After the larger calibration extension, fresh null rejection rates ranged from 4.3% to 5.2%. At a moderate correlation difference of 0.25, the normal-score statistic detected 33.4% of alternatives at N = 180 and 57.9% at N = 360; corresponding Pearson-log values were 33.7% and 56.7%. These similar rates do not establish a general advantage for the rank-normal statistic. The near-ceiling strong-signal results alone would have obscured the moderate-signal limitations. This comparison concerns two targeted correlation statistics, not a power comparison between fitted factor models.</w:t>
      </w:r>
    </w:p>
    <w:p>
      <w:pPr>
        <w:pStyle w:val="BodyText"/>
        <w:keepNext/>
      </w:pPr>
      <w:r>
        <w:t xml:space="preserve">Table 4. Fresh evaluation of the prespecified pair test after the larger independent calibration. Each method/cell contains 1,000 evaluation datasets; parentheses contain conditional 95% Wilson intervals. The non-TNBC latent correlation is always zero.</w:t>
      </w:r>
    </w:p>
    <w:tbl>
      <w:tblPr>
        <w:tblStyle w:val="TableGrid"/>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shd w:fill="E8EFF4"/>
          </w:tcPr>
          <w:p>
            <w:pPr>
              <w:keepNext/>
              <w:spacing w:before="60" w:after="60"/>
            </w:pPr>
            <w:r>
              <w:rPr>
                <w:b/>
                <w:sz w:val="19"/>
              </w:rPr>
              <w:t>N</w:t>
            </w:r>
          </w:p>
        </w:tc>
        <w:tc>
          <w:tcPr>
            <w:tcW w:type="dxa" w:w="2520"/>
            <w:vAlign w:val="center"/>
            <w:shd w:fill="E8EFF4"/>
          </w:tcPr>
          <w:p>
            <w:pPr>
              <w:keepNext/>
              <w:spacing w:before="60" w:after="60"/>
            </w:pPr>
            <w:r>
              <w:rPr>
                <w:b/>
                <w:sz w:val="19"/>
              </w:rPr>
              <w:t>TNBC latent correlation</w:t>
            </w:r>
          </w:p>
        </w:tc>
        <w:tc>
          <w:tcPr>
            <w:tcW w:type="dxa" w:w="2520"/>
            <w:vAlign w:val="center"/>
            <w:shd w:fill="E8EFF4"/>
          </w:tcPr>
          <w:p>
            <w:pPr>
              <w:keepNext/>
              <w:spacing w:before="60" w:after="60"/>
            </w:pPr>
            <w:r>
              <w:rPr>
                <w:b/>
                <w:sz w:val="19"/>
              </w:rPr>
              <w:t>Pearson log</w:t>
            </w:r>
          </w:p>
        </w:tc>
        <w:tc>
          <w:tcPr>
            <w:tcW w:type="dxa" w:w="2520"/>
            <w:vAlign w:val="center"/>
            <w:shd w:fill="E8EFF4"/>
          </w:tcPr>
          <w:p>
            <w:pPr>
              <w:keepNext/>
              <w:spacing w:before="60" w:after="60"/>
            </w:pPr>
            <w:r>
              <w:rPr>
                <w:b/>
                <w:sz w:val="19"/>
              </w:rPr>
              <w:t>Copula normal scores</w:t>
            </w:r>
          </w:p>
        </w:tc>
      </w:tr>
      <w:tr>
        <w:trPr>
          <w:cantSplit/>
        </w:trPr>
        <w:tc>
          <w:tcPr>
            <w:tcW w:type="dxa" w:w="2520"/>
            <w:vAlign w:val="center"/>
            <w:shd w:fill="F5F7F9"/>
          </w:tcPr>
          <w:p>
            <w:pPr>
              <w:keepNext/>
              <w:spacing w:before="60" w:after="60"/>
            </w:pPr>
            <w:r>
              <w:rPr>
                <w:b w:val="0"/>
                <w:sz w:val="19"/>
              </w:rPr>
              <w:t>180</w:t>
            </w:r>
          </w:p>
        </w:tc>
        <w:tc>
          <w:tcPr>
            <w:tcW w:type="dxa" w:w="2520"/>
            <w:vAlign w:val="center"/>
            <w:shd w:fill="F5F7F9"/>
          </w:tcPr>
          <w:p>
            <w:pPr>
              <w:keepNext/>
              <w:spacing w:before="60" w:after="60"/>
            </w:pPr>
            <w:r>
              <w:rPr>
                <w:b w:val="0"/>
                <w:sz w:val="19"/>
              </w:rPr>
              <w:t>0 (null)</w:t>
            </w:r>
          </w:p>
        </w:tc>
        <w:tc>
          <w:tcPr>
            <w:tcW w:type="dxa" w:w="2520"/>
            <w:vAlign w:val="center"/>
            <w:shd w:fill="F5F7F9"/>
          </w:tcPr>
          <w:p>
            <w:pPr>
              <w:keepNext/>
              <w:spacing w:before="60" w:after="60"/>
            </w:pPr>
            <w:r>
              <w:rPr>
                <w:b w:val="0"/>
                <w:sz w:val="19"/>
              </w:rPr>
              <w:t>0.044 (0.033–0.059)</w:t>
            </w:r>
          </w:p>
        </w:tc>
        <w:tc>
          <w:tcPr>
            <w:tcW w:type="dxa" w:w="2520"/>
            <w:vAlign w:val="center"/>
            <w:shd w:fill="F5F7F9"/>
          </w:tcPr>
          <w:p>
            <w:pPr>
              <w:keepNext/>
              <w:spacing w:before="60" w:after="60"/>
            </w:pPr>
            <w:r>
              <w:rPr>
                <w:b w:val="0"/>
                <w:sz w:val="19"/>
              </w:rPr>
              <w:t>0.043 (0.032–0.057)</w:t>
            </w:r>
          </w:p>
        </w:tc>
      </w:tr>
      <w:tr>
        <w:trPr>
          <w:cantSplit/>
        </w:trPr>
        <w:tc>
          <w:tcPr>
            <w:tcW w:type="dxa" w:w="2520"/>
            <w:vAlign w:val="center"/>
            <w:shd w:fill="FFFFFF"/>
          </w:tcPr>
          <w:p>
            <w:pPr>
              <w:keepNext/>
              <w:spacing w:before="60" w:after="60"/>
            </w:pPr>
            <w:r>
              <w:rPr>
                <w:b w:val="0"/>
                <w:sz w:val="19"/>
              </w:rPr>
              <w:t>180</w:t>
            </w:r>
          </w:p>
        </w:tc>
        <w:tc>
          <w:tcPr>
            <w:tcW w:type="dxa" w:w="2520"/>
            <w:vAlign w:val="center"/>
            <w:shd w:fill="FFFFFF"/>
          </w:tcPr>
          <w:p>
            <w:pPr>
              <w:keepNext/>
              <w:spacing w:before="60" w:after="60"/>
            </w:pPr>
            <w:r>
              <w:rPr>
                <w:b w:val="0"/>
                <w:sz w:val="19"/>
              </w:rPr>
              <w:t>0.25</w:t>
            </w:r>
          </w:p>
        </w:tc>
        <w:tc>
          <w:tcPr>
            <w:tcW w:type="dxa" w:w="2520"/>
            <w:vAlign w:val="center"/>
            <w:shd w:fill="FFFFFF"/>
          </w:tcPr>
          <w:p>
            <w:pPr>
              <w:keepNext/>
              <w:spacing w:before="60" w:after="60"/>
            </w:pPr>
            <w:r>
              <w:rPr>
                <w:b w:val="0"/>
                <w:sz w:val="19"/>
              </w:rPr>
              <w:t>0.337 (0.308–0.367)</w:t>
            </w:r>
          </w:p>
        </w:tc>
        <w:tc>
          <w:tcPr>
            <w:tcW w:type="dxa" w:w="2520"/>
            <w:vAlign w:val="center"/>
            <w:shd w:fill="FFFFFF"/>
          </w:tcPr>
          <w:p>
            <w:pPr>
              <w:keepNext/>
              <w:spacing w:before="60" w:after="60"/>
            </w:pPr>
            <w:r>
              <w:rPr>
                <w:b w:val="0"/>
                <w:sz w:val="19"/>
              </w:rPr>
              <w:t>0.334 (0.305–0.364)</w:t>
            </w:r>
          </w:p>
        </w:tc>
      </w:tr>
      <w:tr>
        <w:trPr>
          <w:cantSplit/>
        </w:trPr>
        <w:tc>
          <w:tcPr>
            <w:tcW w:type="dxa" w:w="2520"/>
            <w:vAlign w:val="center"/>
            <w:shd w:fill="F5F7F9"/>
          </w:tcPr>
          <w:p>
            <w:pPr>
              <w:keepNext/>
              <w:spacing w:before="60" w:after="60"/>
            </w:pPr>
            <w:r>
              <w:rPr>
                <w:b w:val="0"/>
                <w:sz w:val="19"/>
              </w:rPr>
              <w:t>180</w:t>
            </w:r>
          </w:p>
        </w:tc>
        <w:tc>
          <w:tcPr>
            <w:tcW w:type="dxa" w:w="2520"/>
            <w:vAlign w:val="center"/>
            <w:shd w:fill="F5F7F9"/>
          </w:tcPr>
          <w:p>
            <w:pPr>
              <w:keepNext/>
              <w:spacing w:before="60" w:after="60"/>
            </w:pPr>
            <w:r>
              <w:rPr>
                <w:b w:val="0"/>
                <w:sz w:val="19"/>
              </w:rPr>
              <w:t>0.40</w:t>
            </w:r>
          </w:p>
        </w:tc>
        <w:tc>
          <w:tcPr>
            <w:tcW w:type="dxa" w:w="2520"/>
            <w:vAlign w:val="center"/>
            <w:shd w:fill="F5F7F9"/>
          </w:tcPr>
          <w:p>
            <w:pPr>
              <w:keepNext/>
              <w:spacing w:before="60" w:after="60"/>
            </w:pPr>
            <w:r>
              <w:rPr>
                <w:b w:val="0"/>
                <w:sz w:val="19"/>
              </w:rPr>
              <w:t>0.713 (0.684–0.740)</w:t>
            </w:r>
          </w:p>
        </w:tc>
        <w:tc>
          <w:tcPr>
            <w:tcW w:type="dxa" w:w="2520"/>
            <w:vAlign w:val="center"/>
            <w:shd w:fill="F5F7F9"/>
          </w:tcPr>
          <w:p>
            <w:pPr>
              <w:keepNext/>
              <w:spacing w:before="60" w:after="60"/>
            </w:pPr>
            <w:r>
              <w:rPr>
                <w:b w:val="0"/>
                <w:sz w:val="19"/>
              </w:rPr>
              <w:t>0.710 (0.681–0.737)</w:t>
            </w:r>
          </w:p>
        </w:tc>
      </w:tr>
      <w:tr>
        <w:trPr>
          <w:cantSplit/>
        </w:trPr>
        <w:tc>
          <w:tcPr>
            <w:tcW w:type="dxa" w:w="2520"/>
            <w:vAlign w:val="center"/>
            <w:shd w:fill="FFFFFF"/>
          </w:tcPr>
          <w:p>
            <w:pPr>
              <w:keepNext/>
              <w:spacing w:before="60" w:after="60"/>
            </w:pPr>
            <w:r>
              <w:rPr>
                <w:b w:val="0"/>
                <w:sz w:val="19"/>
              </w:rPr>
              <w:t>180</w:t>
            </w:r>
          </w:p>
        </w:tc>
        <w:tc>
          <w:tcPr>
            <w:tcW w:type="dxa" w:w="2520"/>
            <w:vAlign w:val="center"/>
            <w:shd w:fill="FFFFFF"/>
          </w:tcPr>
          <w:p>
            <w:pPr>
              <w:keepNext/>
              <w:spacing w:before="60" w:after="60"/>
            </w:pPr>
            <w:r>
              <w:rPr>
                <w:b w:val="0"/>
                <w:sz w:val="19"/>
              </w:rPr>
              <w:t>0.65</w:t>
            </w:r>
          </w:p>
        </w:tc>
        <w:tc>
          <w:tcPr>
            <w:tcW w:type="dxa" w:w="2520"/>
            <w:vAlign w:val="center"/>
            <w:shd w:fill="FFFFFF"/>
          </w:tcPr>
          <w:p>
            <w:pPr>
              <w:keepNext/>
              <w:spacing w:before="60" w:after="60"/>
            </w:pPr>
            <w:r>
              <w:rPr>
                <w:b w:val="0"/>
                <w:sz w:val="19"/>
              </w:rPr>
              <w:t>0.998 (0.993–0.999)</w:t>
            </w:r>
          </w:p>
        </w:tc>
        <w:tc>
          <w:tcPr>
            <w:tcW w:type="dxa" w:w="2520"/>
            <w:vAlign w:val="center"/>
            <w:shd w:fill="FFFFFF"/>
          </w:tcPr>
          <w:p>
            <w:pPr>
              <w:keepNext/>
              <w:spacing w:before="60" w:after="60"/>
            </w:pPr>
            <w:r>
              <w:rPr>
                <w:b w:val="0"/>
                <w:sz w:val="19"/>
              </w:rPr>
              <w:t>0.998 (0.993–0.999)</w:t>
            </w:r>
          </w:p>
        </w:tc>
      </w:tr>
      <w:tr>
        <w:trPr>
          <w:cantSplit/>
        </w:trPr>
        <w:tc>
          <w:tcPr>
            <w:tcW w:type="dxa" w:w="2520"/>
            <w:vAlign w:val="center"/>
            <w:shd w:fill="F5F7F9"/>
          </w:tcPr>
          <w:p>
            <w:pPr>
              <w:keepNext/>
              <w:spacing w:before="60" w:after="60"/>
            </w:pPr>
            <w:r>
              <w:rPr>
                <w:b w:val="0"/>
                <w:sz w:val="19"/>
              </w:rPr>
              <w:t>360</w:t>
            </w:r>
          </w:p>
        </w:tc>
        <w:tc>
          <w:tcPr>
            <w:tcW w:type="dxa" w:w="2520"/>
            <w:vAlign w:val="center"/>
            <w:shd w:fill="F5F7F9"/>
          </w:tcPr>
          <w:p>
            <w:pPr>
              <w:keepNext/>
              <w:spacing w:before="60" w:after="60"/>
            </w:pPr>
            <w:r>
              <w:rPr>
                <w:b w:val="0"/>
                <w:sz w:val="19"/>
              </w:rPr>
              <w:t>0 (null)</w:t>
            </w:r>
          </w:p>
        </w:tc>
        <w:tc>
          <w:tcPr>
            <w:tcW w:type="dxa" w:w="2520"/>
            <w:vAlign w:val="center"/>
            <w:shd w:fill="F5F7F9"/>
          </w:tcPr>
          <w:p>
            <w:pPr>
              <w:keepNext/>
              <w:spacing w:before="60" w:after="60"/>
            </w:pPr>
            <w:r>
              <w:rPr>
                <w:b w:val="0"/>
                <w:sz w:val="19"/>
              </w:rPr>
              <w:t>0.052 (0.040–0.068)</w:t>
            </w:r>
          </w:p>
        </w:tc>
        <w:tc>
          <w:tcPr>
            <w:tcW w:type="dxa" w:w="2520"/>
            <w:vAlign w:val="center"/>
            <w:shd w:fill="F5F7F9"/>
          </w:tcPr>
          <w:p>
            <w:pPr>
              <w:keepNext/>
              <w:spacing w:before="60" w:after="60"/>
            </w:pPr>
            <w:r>
              <w:rPr>
                <w:b w:val="0"/>
                <w:sz w:val="19"/>
              </w:rPr>
              <w:t>0.047 (0.036–0.062)</w:t>
            </w:r>
          </w:p>
        </w:tc>
      </w:tr>
      <w:tr>
        <w:trPr>
          <w:cantSplit/>
        </w:trPr>
        <w:tc>
          <w:tcPr>
            <w:tcW w:type="dxa" w:w="2520"/>
            <w:vAlign w:val="center"/>
            <w:shd w:fill="FFFFFF"/>
          </w:tcPr>
          <w:p>
            <w:pPr>
              <w:keepNext/>
              <w:spacing w:before="60" w:after="60"/>
            </w:pPr>
            <w:r>
              <w:rPr>
                <w:b w:val="0"/>
                <w:sz w:val="19"/>
              </w:rPr>
              <w:t>360</w:t>
            </w:r>
          </w:p>
        </w:tc>
        <w:tc>
          <w:tcPr>
            <w:tcW w:type="dxa" w:w="2520"/>
            <w:vAlign w:val="center"/>
            <w:shd w:fill="FFFFFF"/>
          </w:tcPr>
          <w:p>
            <w:pPr>
              <w:keepNext/>
              <w:spacing w:before="60" w:after="60"/>
            </w:pPr>
            <w:r>
              <w:rPr>
                <w:b w:val="0"/>
                <w:sz w:val="19"/>
              </w:rPr>
              <w:t>0.25</w:t>
            </w:r>
          </w:p>
        </w:tc>
        <w:tc>
          <w:tcPr>
            <w:tcW w:type="dxa" w:w="2520"/>
            <w:vAlign w:val="center"/>
            <w:shd w:fill="FFFFFF"/>
          </w:tcPr>
          <w:p>
            <w:pPr>
              <w:keepNext/>
              <w:spacing w:before="60" w:after="60"/>
            </w:pPr>
            <w:r>
              <w:rPr>
                <w:b w:val="0"/>
                <w:sz w:val="19"/>
              </w:rPr>
              <w:t>0.567 (0.536–0.597)</w:t>
            </w:r>
          </w:p>
        </w:tc>
        <w:tc>
          <w:tcPr>
            <w:tcW w:type="dxa" w:w="2520"/>
            <w:vAlign w:val="center"/>
            <w:shd w:fill="FFFFFF"/>
          </w:tcPr>
          <w:p>
            <w:pPr>
              <w:keepNext/>
              <w:spacing w:before="60" w:after="60"/>
            </w:pPr>
            <w:r>
              <w:rPr>
                <w:b w:val="0"/>
                <w:sz w:val="19"/>
              </w:rPr>
              <w:t>0.579 (0.548–0.609)</w:t>
            </w:r>
          </w:p>
        </w:tc>
      </w:tr>
      <w:tr>
        <w:trPr>
          <w:cantSplit/>
        </w:trPr>
        <w:tc>
          <w:tcPr>
            <w:tcW w:type="dxa" w:w="2520"/>
            <w:vAlign w:val="center"/>
            <w:shd w:fill="F5F7F9"/>
          </w:tcPr>
          <w:p>
            <w:pPr>
              <w:keepNext/>
              <w:spacing w:before="60" w:after="60"/>
            </w:pPr>
            <w:r>
              <w:rPr>
                <w:b w:val="0"/>
                <w:sz w:val="19"/>
              </w:rPr>
              <w:t>360</w:t>
            </w:r>
          </w:p>
        </w:tc>
        <w:tc>
          <w:tcPr>
            <w:tcW w:type="dxa" w:w="2520"/>
            <w:vAlign w:val="center"/>
            <w:shd w:fill="F5F7F9"/>
          </w:tcPr>
          <w:p>
            <w:pPr>
              <w:keepNext/>
              <w:spacing w:before="60" w:after="60"/>
            </w:pPr>
            <w:r>
              <w:rPr>
                <w:b w:val="0"/>
                <w:sz w:val="19"/>
              </w:rPr>
              <w:t>0.40</w:t>
            </w:r>
          </w:p>
        </w:tc>
        <w:tc>
          <w:tcPr>
            <w:tcW w:type="dxa" w:w="2520"/>
            <w:vAlign w:val="center"/>
            <w:shd w:fill="F5F7F9"/>
          </w:tcPr>
          <w:p>
            <w:pPr>
              <w:keepNext/>
              <w:spacing w:before="60" w:after="60"/>
            </w:pPr>
            <w:r>
              <w:rPr>
                <w:b w:val="0"/>
                <w:sz w:val="19"/>
              </w:rPr>
              <w:t>0.947 (0.931–0.959)</w:t>
            </w:r>
          </w:p>
        </w:tc>
        <w:tc>
          <w:tcPr>
            <w:tcW w:type="dxa" w:w="2520"/>
            <w:vAlign w:val="center"/>
            <w:shd w:fill="F5F7F9"/>
          </w:tcPr>
          <w:p>
            <w:pPr>
              <w:keepNext/>
              <w:spacing w:before="60" w:after="60"/>
            </w:pPr>
            <w:r>
              <w:rPr>
                <w:b w:val="0"/>
                <w:sz w:val="19"/>
              </w:rPr>
              <w:t>0.948 (0.932–0.960)</w:t>
            </w:r>
          </w:p>
        </w:tc>
      </w:tr>
      <w:tr>
        <w:trPr>
          <w:cantSplit/>
        </w:trPr>
        <w:tc>
          <w:tcPr>
            <w:tcW w:type="dxa" w:w="2520"/>
            <w:vAlign w:val="center"/>
            <w:shd w:fill="FFFFFF"/>
          </w:tcPr>
          <w:p>
            <w:pPr>
              <w:keepNext w:val="0"/>
              <w:spacing w:before="60" w:after="60"/>
            </w:pPr>
            <w:r>
              <w:rPr>
                <w:b w:val="0"/>
                <w:sz w:val="19"/>
              </w:rPr>
              <w:t>360</w:t>
            </w:r>
          </w:p>
        </w:tc>
        <w:tc>
          <w:tcPr>
            <w:tcW w:type="dxa" w:w="2520"/>
            <w:vAlign w:val="center"/>
            <w:shd w:fill="FFFFFF"/>
          </w:tcPr>
          <w:p>
            <w:pPr>
              <w:keepNext w:val="0"/>
              <w:spacing w:before="60" w:after="60"/>
            </w:pPr>
            <w:r>
              <w:rPr>
                <w:b w:val="0"/>
                <w:sz w:val="19"/>
              </w:rPr>
              <w:t>0.65</w:t>
            </w:r>
          </w:p>
        </w:tc>
        <w:tc>
          <w:tcPr>
            <w:tcW w:type="dxa" w:w="2520"/>
            <w:vAlign w:val="center"/>
            <w:shd w:fill="FFFFFF"/>
          </w:tcPr>
          <w:p>
            <w:pPr>
              <w:keepNext w:val="0"/>
              <w:spacing w:before="60" w:after="60"/>
            </w:pPr>
            <w:r>
              <w:rPr>
                <w:b w:val="0"/>
                <w:sz w:val="19"/>
              </w:rPr>
              <w:t>1.000 (0.996–1.000)</w:t>
            </w:r>
          </w:p>
        </w:tc>
        <w:tc>
          <w:tcPr>
            <w:tcW w:type="dxa" w:w="2520"/>
            <w:vAlign w:val="center"/>
            <w:shd w:fill="FFFFFF"/>
          </w:tcPr>
          <w:p>
            <w:pPr>
              <w:keepNext w:val="0"/>
              <w:spacing w:before="60" w:after="60"/>
            </w:pPr>
            <w:r>
              <w:rPr>
                <w:b w:val="0"/>
                <w:sz w:val="19"/>
              </w:rPr>
              <w:t>1.000 (0.996–1.000)</w:t>
            </w:r>
          </w:p>
        </w:tc>
      </w:tr>
    </w:tbl>
    <w:p>
      <w:pPr>
        <w:pStyle w:val="BodyText"/>
        <w:keepNext/>
        <w:jc w:val="center"/>
      </w:pPr>
      <w:r>
        <w:drawing>
          <wp:inline>
            <wp:extent cx="5852160" cy="4724679"/>
            <wp:effectExtent b="0" l="0" r="0" t="0"/>
            <wp:docPr descr="" title="" id="46" name="Picture"/>
            <a:graphic>
              <a:graphicData uri="http://schemas.openxmlformats.org/drawingml/2006/picture">
                <pic:pic>
                  <pic:nvPicPr>
                    <pic:cNvPr descr="../figures/dependence_test.png" id="47" name="Picture"/>
                    <pic:cNvPicPr>
                      <a:picLocks noChangeArrowheads="1" noChangeAspect="1"/>
                    </pic:cNvPicPr>
                  </pic:nvPicPr>
                  <pic:blipFill>
                    <a:blip r:embed="rId45"/>
                    <a:stretch>
                      <a:fillRect/>
                    </a:stretch>
                  </pic:blipFill>
                  <pic:spPr bwMode="auto">
                    <a:xfrm>
                      <a:off x="0" y="0"/>
                      <a:ext cx="5852160" cy="4724679"/>
                    </a:xfrm>
                    <a:prstGeom prst="rect">
                      <a:avLst/>
                    </a:prstGeom>
                    <a:noFill/>
                    <a:ln w="9525">
                      <a:noFill/>
                      <a:headEnd/>
                      <a:tailEnd/>
                    </a:ln>
                  </pic:spPr>
                </pic:pic>
              </a:graphicData>
            </a:graphic>
          </wp:inline>
        </w:drawing>
      </w:r>
    </w:p>
    <w:p>
      <w:pPr>
        <w:pStyle w:val="BodyText"/>
        <w:spacing w:after="180"/>
      </w:pPr>
      <w:r>
        <w:t xml:space="preserve">Figure 7. Fresh null rejection and detection probabilities with Wilson intervals, using correlation differences 0.25, 0.40 and 0.65. The largest effect is a strong-signal feasibility benchmark. Moderate alternatives are included to avoid judging methods solely at a power ceiling.</w:t>
      </w:r>
    </w:p>
    <w:bookmarkEnd w:id="48"/>
    <w:bookmarkEnd w:id="49"/>
    <w:bookmarkStart w:id="50" w:name="discussion"/>
    <w:p>
      <w:pPr>
        <w:pStyle w:val="Heading2"/>
        <w:keepNext/>
      </w:pPr>
      <w:r>
        <w:t xml:space="preserve">Discussion</w:t>
      </w:r>
    </w:p>
    <w:p>
      <w:pPr>
        <w:pStyle w:val="FirstParagraph"/>
      </w:pPr>
      <w:r>
        <w:t xml:space="preserve">This study evaluates whether flexible dependence modelling adds value to a compact multi-omics workflow under specified, reproducible mechanisms. The appropriate interpretation is conditional: a model can recover dependence adequately without improving phenotype prediction, and a representation that predicts well need not recover the complete generating factor space. Differences between the copula and MOFA pipelines also include priors, sparsity, inference and score projection, preventing attribution of every difference to the copula alone.</w:t>
      </w:r>
    </w:p>
    <w:p>
      <w:pPr>
        <w:pStyle w:val="BodyText"/>
      </w:pPr>
      <w:r>
        <w:t xml:space="preserve">The Gaussian MOFA sensitivity analysis and rank PCA are important controls. When they perform similarly to a copula, normalisation and low-rank structure may explain much of the available gain. Conversely, a dependence test addresses information that an additive classifier may miss. It should be evaluated as a separate, prespecified scientific analysis rather than used to rescue a disappointing classification comparison.</w:t>
      </w:r>
    </w:p>
    <w:p>
      <w:pPr>
        <w:pStyle w:val="BodyText"/>
      </w:pPr>
      <w:r>
        <w:t xml:space="preserve">For the proposed breast cancer Study 3, MOFA+ remains an established integration baseline. A copula analysis could complement it by examining selected cross-layer relationships, especially when continuous distributions remain non-Gaussian or dependence itself is the target. Any extension must account for actual specimen fractions, sequencing design, cell composition, treatment timing, assay batches and country imbalance. Molecular co-variation cannot establish tumour origin, causal mediation, shared causal variants or therapeutic utility.</w:t>
      </w:r>
    </w:p>
    <w:p>
      <w:pPr>
        <w:pStyle w:val="BodyText"/>
      </w:pPr>
      <w:r>
        <w:t xml:space="preserve">Several limitations constrain extrapolation. The feature panel is deliberately small, genomic dependence is synthetic, and the factor count is known. The model does not reproduce real African LD, full tumour mutation processes or a whole-transcriptome assay. The missingness mechanism is not explicitly fitted. Rank likelihood reduces sensitivity to monotone marginal transformations but does not solve confounding or non-ignorable missingness. A Gaussian copula is misspecified for the heavy-tail dependence mechanism. The plug-in projection may discard posterior information and may disadvantage the copula relative to exact predictive inference.</w:t>
      </w:r>
    </w:p>
    <w:p>
      <w:pPr>
        <w:pStyle w:val="BodyText"/>
      </w:pPr>
      <w:r>
        <w:t xml:space="preserve">Thirty integration replicates per cell provide a manageable benchmark, not precise evidence of small power differences. The companion test has more replicates and several effect sizes but examines only one prespecified pair. It does not address genome-wide multiplicity. No leave-one-country-out validation, empirical reference-data validation, full posterior calibration, asymmetric copula comparison or extensive factor-number sensitivity analysis was performed. These are prospective extensions rather than completed analyses.</w:t>
      </w:r>
    </w:p>
    <w:bookmarkEnd w:id="50"/>
    <w:bookmarkStart w:id="51" w:name="conclusion"/>
    <w:p>
      <w:pPr>
        <w:pStyle w:val="Heading2"/>
        <w:keepNext/>
      </w:pPr>
      <w:r>
        <w:t xml:space="preserve">Conclusion</w:t>
      </w:r>
    </w:p>
    <w:p>
      <w:pPr>
        <w:pStyle w:val="FirstParagraph"/>
      </w:pPr>
      <w:r>
        <w:t xml:space="preserve">Copula modelling can be tested as a complementary integration strategy for mixed blood multi-omics measurements. Its value must be judged separately for latent programme recovery, prediction and subtype-specific coordination. This benchmark provides executable evidence for those distinctions while retaining MOFA+ and simpler baselines. The simulated results do not justify replacing an established integration method solely because the alternative is more complex.</w:t>
      </w:r>
    </w:p>
    <w:bookmarkEnd w:id="51"/>
    <w:bookmarkStart w:id="56" w:name="references"/>
    <w:p>
      <w:pPr>
        <w:pStyle w:val="Heading2"/>
        <w:keepNext/>
      </w:pPr>
      <w:r>
        <w:t xml:space="preserve">References</w:t>
      </w:r>
    </w:p>
    <w:p>
      <w:pPr>
        <w:pStyle w:val="Compact"/>
        <w:numPr>
          <w:ilvl w:val="0"/>
          <w:numId w:val="1001"/>
        </w:numPr>
      </w:pPr>
      <w:r>
        <w:t xml:space="preserve">Argelaguet R, et al. MOFA+: a statistical framework for comprehensive integration of multi-modal single-cell data. Genome Biology. 2020;21:111.</w:t>
      </w:r>
      <w:r>
        <w:t xml:space="preserve"> </w:t>
      </w:r>
      <w:hyperlink r:id="rId52">
        <w:r>
          <w:rPr>
            <w:rStyle w:val="Hyperlink"/>
          </w:rPr>
          <w:t xml:space="preserve">Methods paper</w:t>
        </w:r>
      </w:hyperlink>
      <w:r>
        <w:t xml:space="preserve">.</w:t>
      </w:r>
    </w:p>
    <w:p>
      <w:pPr>
        <w:pStyle w:val="Compact"/>
        <w:numPr>
          <w:ilvl w:val="0"/>
          <w:numId w:val="1001"/>
        </w:numPr>
      </w:pPr>
      <w:r>
        <w:t xml:space="preserve">Murray JS, Dunson DB, Carin L, Lucas JE. Bayesian Gaussian copula factor models for mixed data. Journal of the American Statistical Association. 2013;108:656–665.</w:t>
      </w:r>
      <w:r>
        <w:t xml:space="preserve"> </w:t>
      </w:r>
      <w:hyperlink r:id="rId53">
        <w:r>
          <w:rPr>
            <w:rStyle w:val="Hyperlink"/>
          </w:rPr>
          <w:t xml:space="preserve">Methods paper</w:t>
        </w:r>
      </w:hyperlink>
      <w:r>
        <w:t xml:space="preserve">.</w:t>
      </w:r>
    </w:p>
    <w:p>
      <w:pPr>
        <w:pStyle w:val="Compact"/>
        <w:numPr>
          <w:ilvl w:val="0"/>
          <w:numId w:val="1001"/>
        </w:numPr>
      </w:pPr>
      <w:r>
        <w:t xml:space="preserve">Hoff PD. Extending the rank likelihood for semiparametric copula estimation. Annals of Applied Statistics. 2007;1:265–283.</w:t>
      </w:r>
      <w:r>
        <w:t xml:space="preserve"> </w:t>
      </w:r>
      <w:hyperlink r:id="rId54">
        <w:r>
          <w:rPr>
            <w:rStyle w:val="Hyperlink"/>
          </w:rPr>
          <w:t xml:space="preserve">Author manuscript</w:t>
        </w:r>
      </w:hyperlink>
      <w:r>
        <w:t xml:space="preserve">.</w:t>
      </w:r>
    </w:p>
    <w:p>
      <w:pPr>
        <w:pStyle w:val="Compact"/>
        <w:numPr>
          <w:ilvl w:val="0"/>
          <w:numId w:val="1001"/>
        </w:numPr>
      </w:pPr>
      <w:r>
        <w:t xml:space="preserve">MOFA developers. Official implementation and installation documentation.</w:t>
      </w:r>
      <w:r>
        <w:t xml:space="preserve"> </w:t>
      </w:r>
      <w:hyperlink r:id="rId55">
        <w:r>
          <w:rPr>
            <w:rStyle w:val="Hyperlink"/>
          </w:rPr>
          <w:t xml:space="preserve">MOFA documentation</w:t>
        </w:r>
      </w:hyperlink>
      <w:r>
        <w:t xml:space="preserve">.</w:t>
      </w:r>
    </w:p>
    <w:bookmarkEnd w:id="56"/>
    <w:bookmarkStart w:id="57" w:name="data-and-code-availability"/>
    <w:p>
      <w:pPr>
        <w:pStyle w:val="Heading2"/>
        <w:keepNext/>
      </w:pPr>
      <w:r>
        <w:t xml:space="preserve">Data and code availability</w:t>
      </w:r>
    </w:p>
    <w:p>
      <w:pPr>
        <w:pStyle w:val="FirstParagraph"/>
      </w:pPr>
      <w:r>
        <w:t xml:space="preserve">All released observations are synthetic. The repository contains no proposal document, personal contact information, clinical records, raw patient sequencing or collaborator data. The source is released under the MIT licence. Cite the repository and the original MOFA and copula-method publications when reusing the benchmark. Implementation of an existing method and its application to this simulation are not claims of methodological novelty.</w:t>
      </w:r>
    </w:p>
    <w:bookmarkEnd w:id="57"/>
    <w:sectPr w:rsidR="00FC693F" w:rsidRPr="0006063C" w:rsidSect="00034616">
      <w:footerReference w:type="default" r:id="rId9"/>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Vusumuzi Mabasa | Simulated data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20" w:line="250" w:lineRule="auto"/>
    </w:pPr>
    <w:rPr>
      <w:rFonts w:ascii="Calibri" w:hAnsi="Calibri"/>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20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0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2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2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2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2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2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2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2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2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2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2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2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2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2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2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2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20" w:line="250" w:lineRule="auto"/>
    </w:pPr>
    <w:rPr>
      <w:rFonts w:ascii="Calibri" w:hAnsi="Calibri"/>
      <w:color w:val="000000"/>
      <w:sz w:val="22"/>
    </w:rPr>
  </w:style>
  <w:style w:customStyle="1" w:styleId="Compact" w:type="paragraph">
    <w:name w:val="Compact"/>
    <w:basedOn w:val="Normal"/>
    <w:pPr>
      <w:spacing w:after="120" w:line="250" w:lineRule="auto"/>
    </w:pPr>
    <w:rPr>
      <w:rFonts w:ascii="Calibri" w:hAnsi="Calibri"/>
      <w:color w:val="000000"/>
      <w:sz w:val="22"/>
    </w:rPr>
  </w:style>
  <w:style w:customStyle="1" w:styleId="SourceCode" w:type="paragraph">
    <w:name w:val="Source Code"/>
    <w:basedOn w:val="Normal"/>
    <w:pPr>
      <w:spacing w:after="12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45" Type="http://schemas.openxmlformats.org/officeDocument/2006/relationships/image" Target="media/rId45.png"/><Relationship Id="rId41" Type="http://schemas.openxmlformats.org/officeDocument/2006/relationships/image" Target="media/rId41.png"/><Relationship Id="rId27" Type="http://schemas.openxmlformats.org/officeDocument/2006/relationships/image" Target="media/rId27.png"/><Relationship Id="rId24" Type="http://schemas.openxmlformats.org/officeDocument/2006/relationships/image" Target="media/rId24.png"/><Relationship Id="rId34" Type="http://schemas.openxmlformats.org/officeDocument/2006/relationships/image" Target="media/rId34.png"/><Relationship Id="rId31" Type="http://schemas.openxmlformats.org/officeDocument/2006/relationships/image" Target="media/rId31.png"/><Relationship Id="rId54" Type="http://schemas.openxmlformats.org/officeDocument/2006/relationships/hyperlink" Target="https://arxiv.org/abs/math/0610413" TargetMode="External"/><Relationship Id="rId55" Type="http://schemas.openxmlformats.org/officeDocument/2006/relationships/hyperlink" Target="https://biofam.github.io/MOFA2/installation.html" TargetMode="External"/><Relationship Id="rId52" Type="http://schemas.openxmlformats.org/officeDocument/2006/relationships/hyperlink" Target="https://doi.org/10.1186/s13059-020-02015-1" TargetMode="External"/><Relationship Id="rId21" Type="http://schemas.openxmlformats.org/officeDocument/2006/relationships/hyperlink" Target="https://github.com/Vusumuzi2Mabasa/Breast-Multiomics-Copula-MOFA/blob/main/protocol/dependence_validation.json" TargetMode="External"/><Relationship Id="rId11" Type="http://schemas.openxmlformats.org/officeDocument/2006/relationships/hyperlink" Target="https://github.com/Vusumuzi2Mabasa/Breast-Multiomics-Copula-MOFA/blob/main/protocol/design.json" TargetMode="External"/><Relationship Id="rId18" Type="http://schemas.openxmlformats.org/officeDocument/2006/relationships/hyperlink" Target="https://github.com/Vusumuzi2Mabasa/Breast-Multiomics-Copula-MOFA/blob/main/protocol/metric_correction.json" TargetMode="External"/><Relationship Id="rId12" Type="http://schemas.openxmlformats.org/officeDocument/2006/relationships/hyperlink" Target="https://github.com/Vusumuzi2Mabasa/Breast-Multiomics-Copula-MOFA/blob/main/protocol/source_lock.json" TargetMode="External"/><Relationship Id="rId20" Type="http://schemas.openxmlformats.org/officeDocument/2006/relationships/hyperlink" Target="https://github.com/Vusumuzi2Mabasa/Breast-Multiomics-Copula-MOFA/blob/main/results/dependence_initial_summary.csv" TargetMode="External"/><Relationship Id="rId16" Type="http://schemas.openxmlformats.org/officeDocument/2006/relationships/hyperlink" Target="https://github.com/Vusumuzi2Mabasa/Breast-Multiomics-Copula-MOFA/blob/main/results/evaluation.csv" TargetMode="External"/><Relationship Id="rId17" Type="http://schemas.openxmlformats.org/officeDocument/2006/relationships/hyperlink" Target="https://github.com/Vusumuzi2Mabasa/Breast-Multiomics-Copula-MOFA/blob/main/results/recovery_correction.csv" TargetMode="External"/><Relationship Id="rId53" Type="http://schemas.openxmlformats.org/officeDocument/2006/relationships/hyperlink" Target="https://pmc.ncbi.nlm.nih.gov/articles/PMC375311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4" Type="http://schemas.openxmlformats.org/officeDocument/2006/relationships/hyperlink" Target="https://arxiv.org/abs/math/0610413" TargetMode="External"/><Relationship Id="rId55" Type="http://schemas.openxmlformats.org/officeDocument/2006/relationships/hyperlink" Target="https://biofam.github.io/MOFA2/installation.html" TargetMode="External"/><Relationship Id="rId52" Type="http://schemas.openxmlformats.org/officeDocument/2006/relationships/hyperlink" Target="https://doi.org/10.1186/s13059-020-02015-1" TargetMode="External"/><Relationship Id="rId21" Type="http://schemas.openxmlformats.org/officeDocument/2006/relationships/hyperlink" Target="https://github.com/Vusumuzi2Mabasa/Breast-Multiomics-Copula-MOFA/blob/main/protocol/dependence_validation.json" TargetMode="External"/><Relationship Id="rId11" Type="http://schemas.openxmlformats.org/officeDocument/2006/relationships/hyperlink" Target="https://github.com/Vusumuzi2Mabasa/Breast-Multiomics-Copula-MOFA/blob/main/protocol/design.json" TargetMode="External"/><Relationship Id="rId18" Type="http://schemas.openxmlformats.org/officeDocument/2006/relationships/hyperlink" Target="https://github.com/Vusumuzi2Mabasa/Breast-Multiomics-Copula-MOFA/blob/main/protocol/metric_correction.json" TargetMode="External"/><Relationship Id="rId12" Type="http://schemas.openxmlformats.org/officeDocument/2006/relationships/hyperlink" Target="https://github.com/Vusumuzi2Mabasa/Breast-Multiomics-Copula-MOFA/blob/main/protocol/source_lock.json" TargetMode="External"/><Relationship Id="rId20" Type="http://schemas.openxmlformats.org/officeDocument/2006/relationships/hyperlink" Target="https://github.com/Vusumuzi2Mabasa/Breast-Multiomics-Copula-MOFA/blob/main/results/dependence_initial_summary.csv" TargetMode="External"/><Relationship Id="rId16" Type="http://schemas.openxmlformats.org/officeDocument/2006/relationships/hyperlink" Target="https://github.com/Vusumuzi2Mabasa/Breast-Multiomics-Copula-MOFA/blob/main/results/evaluation.csv" TargetMode="External"/><Relationship Id="rId17" Type="http://schemas.openxmlformats.org/officeDocument/2006/relationships/hyperlink" Target="https://github.com/Vusumuzi2Mabasa/Breast-Multiomics-Copula-MOFA/blob/main/results/recovery_correction.csv" TargetMode="External"/><Relationship Id="rId53" Type="http://schemas.openxmlformats.org/officeDocument/2006/relationships/hyperlink" Target="https://pmc.ncbi.nlm.nih.gov/articles/PMC3753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Copula and MOFA Integration of Simulated Blood Multiomics</dc:title>
  <dc:creator>Vusumuzi Mabasa</dc:creator>
  <cp:keywords/>
  <dcterms:created xsi:type="dcterms:W3CDTF">2026-10-29T16:29:41Z</dcterms:created>
  <dcterms:modified xsi:type="dcterms:W3CDTF">2026-10-29T16:29:41Z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reproducible simulation benchmark</vt:lpwstr>
  </property>
  <property fmtid="{D5CDD505-2E9C-101B-9397-08002B2CF9AE}" pid="12" name="toc-title">
    <vt:lpwstr>Table of contents</vt:lpwstr>
  </property>
</Properties>
</file>