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Cross-population borrowing and effect heterogeneity in simulated genetic association studies</w:t>
      </w:r>
    </w:p>
    <w:p>
      <w:pPr>
        <w:pStyle w:val="Subtitle"/>
      </w:pPr>
      <w:r>
        <w:t xml:space="preserve">A paired comparison of Manc-COJO and Bayesian hierarchical variable selection</w:t>
      </w:r>
    </w:p>
    <w:p>
      <w:pPr>
        <w:pStyle w:val="Author"/>
      </w:pPr>
      <w:r>
        <w:t xml:space="preserve">Vusumuzi Mabasa</w:t>
      </w:r>
    </w:p>
    <w:p>
      <w:pPr>
        <w:pStyle w:val="FirstParagraph"/>
      </w:pPr>
      <w:r>
        <w:t xml:space="preserve">All participants, genotypes and phenotypes are synthetic. EUR and AFR label simplified simulation settings, not sampled populations or the diversity within ancestry groups. No AWI-Gen or other participant-level research data were used.</w:t>
      </w:r>
    </w:p>
    <w:bookmarkStart w:id="9" w:name="abstract"/>
    <w:p>
      <w:pPr>
        <w:pStyle w:val="Heading1"/>
        <w:keepNext/>
      </w:pPr>
      <w:r>
        <w:t xml:space="preserve">Abstract</w:t>
      </w:r>
    </w:p>
    <w:p>
      <w:pPr>
        <w:pStyle w:val="FirstParagraph"/>
      </w:pPr>
      <w:r>
        <w:rPr>
          <w:b/>
          <w:bCs/>
        </w:rPr>
        <w:t xml:space="preserve">Background.</w:t>
      </w:r>
      <w:r>
        <w:t xml:space="preserve"> </w:t>
      </w:r>
      <w:r>
        <w:t xml:space="preserve">Combining association evidence across populations can improve inference when effects are shared, but borrowing may distort effects that differ between populations. Unequal sample sizes and linkage disequilibrium (LD) complicate this trade-off.</w:t>
      </w:r>
    </w:p>
    <w:p>
      <w:pPr>
        <w:pStyle w:val="BodyText"/>
      </w:pPr>
      <w:r>
        <w:rPr>
          <w:b/>
          <w:bCs/>
        </w:rPr>
        <w:t xml:space="preserve">Methods.</w:t>
      </w:r>
      <w:r>
        <w:t xml:space="preserve"> </w:t>
      </w:r>
      <w:r>
        <w:t xml:space="preserve">We evaluated 240 paired dataset settings spanning three effect scenarios, four smaller-cohort sample sizes and 20 replicates per setting. Each dataset contained eight variants in two LD blocks. The EUR-labelled cohort contained 2,000 individuals; AFR-labelled samples contained 250–2,000. The official Manc-COJO v1.1.0 executable was compared with a custom Bayesian model using shared variant inclusion and effect correlations of 0 or 0.8. Both approaches received the same marginal statistics and in-sample LD.</w:t>
      </w:r>
    </w:p>
    <w:p>
      <w:pPr>
        <w:pStyle w:val="BodyText"/>
      </w:pPr>
      <w:r>
        <w:rPr>
          <w:b/>
          <w:bCs/>
        </w:rPr>
        <w:t xml:space="preserve">Results.</w:t>
      </w:r>
      <w:r>
        <w:t xml:space="preserve"> </w:t>
      </w:r>
      <w:r>
        <w:t xml:space="preserve">With shared effects and AFR sample size 250, strong borrowing reduced AFR effect RMSE from 0.050 to 0.039 relative to the uncorrelated-effect prior. Under heterogeneous effects, RMSE instead increased from 0.078 to 0.086. For an AFR-specific variant with true effect 0.28, mean posterior effects were 0.103 without effect correlation and 0.061 with strong borrowing. Recovery improved with sample size. No null false selections occurred under the primary thresholds, but only 20 null replicates were available per sample size.</w:t>
      </w:r>
    </w:p>
    <w:p>
      <w:pPr>
        <w:pStyle w:val="BodyText"/>
      </w:pPr>
      <w:r>
        <w:rPr>
          <w:b/>
          <w:bCs/>
        </w:rPr>
        <w:t xml:space="preserve">Conclusion.</w:t>
      </w:r>
      <w:r>
        <w:t xml:space="preserve"> </w:t>
      </w:r>
      <w:r>
        <w:t xml:space="preserve">Borrowing improved estimation when its assumptions matched the generating model and increased shrinkage of a population-specific effect when they did not. Differing selection thresholds and objectives preclude a general claim of method superiority.</w:t>
      </w:r>
    </w:p>
    <w:bookmarkEnd w:id="9"/>
    <w:bookmarkStart w:id="10" w:name="introduction"/>
    <w:p>
      <w:pPr>
        <w:pStyle w:val="Heading1"/>
        <w:keepNext/>
      </w:pPr>
      <w:r>
        <w:t xml:space="preserve">Introduction</w:t>
      </w:r>
    </w:p>
    <w:p>
      <w:pPr>
        <w:pStyle w:val="FirstParagraph"/>
      </w:pPr>
      <w:r>
        <w:t xml:space="preserve">Multi-population association analyses balance shared evidence against effect heterogeneity. A larger cohort may stabilise estimates in a smaller cohort, while differences in LD alter how marginal associations identify underlying signals. Strong similarity assumptions can also attenuate effects present primarily in the smaller cohort.</w:t>
      </w:r>
    </w:p>
    <w:p>
      <w:pPr>
        <w:pStyle w:val="BodyText"/>
      </w:pPr>
      <w:r>
        <w:t xml:space="preserve">This study examines how sample size, LD and an explicit borrowing prior affect signal recovery and estimation when the truth is known. Manc-COJO provides the conditional-and-joint association comparator. The Bayesian analysis is a custom, exactly enumerated variable-selection model, not an implementation of MESuSiE or a validated new fine-mapping method. The objective is to characterise small-locus behaviour under controlled assumptions rather than benchmark genome-wide performance.</w:t>
      </w:r>
    </w:p>
    <w:bookmarkEnd w:id="10"/>
    <w:bookmarkStart w:id="19" w:name="methods"/>
    <w:p>
      <w:pPr>
        <w:pStyle w:val="Heading1"/>
        <w:keepNext/>
        <w:pageBreakBefore/>
      </w:pPr>
      <w:r>
        <w:t xml:space="preserve">Methods</w:t>
      </w:r>
    </w:p>
    <w:bookmarkStart w:id="13" w:name="simulation-design"/>
    <w:p>
      <w:pPr>
        <w:pStyle w:val="Heading2"/>
        <w:keepNext/>
      </w:pPr>
      <w:r>
        <w:t xml:space="preserve">Simulation design</w:t>
      </w:r>
    </w:p>
    <w:p>
      <w:pPr>
        <w:pStyle w:val="FirstParagraph"/>
      </w:pPr>
      <w:r>
        <w:t xml:space="preserve">The design is recorded in</w:t>
      </w:r>
      <w:r>
        <w:t xml:space="preserve"> </w:t>
      </w:r>
      <w:hyperlink r:id="rId11">
        <w:r>
          <w:rPr>
            <w:rStyle w:val="Hyperlink"/>
          </w:rPr>
          <w:t xml:space="preserve">study_config.json</w:t>
        </w:r>
      </w:hyperlink>
      <w:r>
        <w:t xml:space="preserve">; the generator and estimators are implemented in</w:t>
      </w:r>
      <w:r>
        <w:t xml:space="preserve"> </w:t>
      </w:r>
      <w:hyperlink r:id="rId12">
        <w:r>
          <w:rPr>
            <w:rStyle w:val="Hyperlink"/>
          </w:rPr>
          <w:t xml:space="preserve">simulate_compare.py</w:t>
        </w:r>
      </w:hyperlink>
      <w:r>
        <w:t xml:space="preserve">.</w:t>
      </w:r>
    </w:p>
    <w:tbl>
      <w:tblPr>
        <w:tblStyle w:val="Table"/>
        <w:tblW w:type="pct" w:w="5000"/>
        <w:tblLayout w:type="autofit"/>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on"/>
          <w:cantSplit/>
          <w:tblHeader/>
        </w:trPr>
        <w:tc>
          <w:tcPr>
            <w:vAlign w:val="center"/>
            <w:shd w:fill="E8EFF4"/>
          </w:tcPr>
          <w:p>
            <w:pPr>
              <w:pStyle w:val="Compact"/>
              <w:spacing w:before="60" w:after="60"/>
            </w:pPr>
            <w:r>
              <w:rPr>
                <w:b/>
                <w:sz w:val="18"/>
              </w:rPr>
              <w:t xml:space="preserve">Component</w:t>
            </w:r>
          </w:p>
        </w:tc>
        <w:tc>
          <w:tcPr>
            <w:vAlign w:val="center"/>
            <w:shd w:fill="E8EFF4"/>
          </w:tcPr>
          <w:p>
            <w:pPr>
              <w:pStyle w:val="Compact"/>
              <w:spacing w:before="60" w:after="60"/>
            </w:pPr>
            <w:r>
              <w:rPr>
                <w:b/>
                <w:sz w:val="18"/>
              </w:rPr>
              <w:t xml:space="preserve">Specification</w:t>
            </w:r>
          </w:p>
        </w:tc>
      </w:tr>
      <w:tr>
        <w:trPr>
          <w:cantSplit/>
        </w:trPr>
        <w:tc>
          <w:tcPr>
            <w:vAlign w:val="center"/>
          </w:tcPr>
          <w:p>
            <w:pPr>
              <w:pStyle w:val="Compact"/>
              <w:spacing w:before="60" w:after="60"/>
            </w:pPr>
            <w:r>
              <w:rPr>
                <w:b w:val="0"/>
                <w:sz w:val="18"/>
              </w:rPr>
              <w:t xml:space="preserve">Variant panel</w:t>
            </w:r>
          </w:p>
        </w:tc>
        <w:tc>
          <w:tcPr>
            <w:vAlign w:val="center"/>
          </w:tcPr>
          <w:p>
            <w:pPr>
              <w:pStyle w:val="Compact"/>
              <w:spacing w:before="60" w:after="60"/>
            </w:pPr>
            <w:r>
              <w:rPr>
                <w:b w:val="0"/>
                <w:sz w:val="18"/>
              </w:rPr>
              <w:t xml:space="preserve">Eight biallelic variants in two independent four-variant blocks</w:t>
            </w:r>
          </w:p>
        </w:tc>
      </w:tr>
      <w:tr>
        <w:trPr>
          <w:cantSplit/>
        </w:trPr>
        <w:tc>
          <w:tcPr>
            <w:vAlign w:val="center"/>
          </w:tcPr>
          <w:p>
            <w:pPr>
              <w:pStyle w:val="Compact"/>
              <w:spacing w:before="60" w:after="60"/>
            </w:pPr>
            <w:r>
              <w:rPr>
                <w:b w:val="0"/>
                <w:sz w:val="18"/>
              </w:rPr>
              <w:t xml:space="preserve">Larger cohort</w:t>
            </w:r>
          </w:p>
        </w:tc>
        <w:tc>
          <w:tcPr>
            <w:vAlign w:val="center"/>
          </w:tcPr>
          <w:p>
            <w:pPr>
              <w:pStyle w:val="Compact"/>
              <w:spacing w:before="60" w:after="60"/>
            </w:pPr>
            <w:r>
              <w:rPr>
                <w:b w:val="0"/>
                <w:sz w:val="18"/>
              </w:rPr>
              <w:t xml:space="preserve">2,000 EUR-labelled individuals</w:t>
            </w:r>
          </w:p>
        </w:tc>
      </w:tr>
      <w:tr>
        <w:trPr>
          <w:cantSplit/>
        </w:trPr>
        <w:tc>
          <w:tcPr>
            <w:vAlign w:val="center"/>
          </w:tcPr>
          <w:p>
            <w:pPr>
              <w:pStyle w:val="Compact"/>
              <w:spacing w:before="60" w:after="60"/>
            </w:pPr>
            <w:r>
              <w:rPr>
                <w:b w:val="0"/>
                <w:sz w:val="18"/>
              </w:rPr>
              <w:t xml:space="preserve">Smaller cohort</w:t>
            </w:r>
          </w:p>
        </w:tc>
        <w:tc>
          <w:tcPr>
            <w:vAlign w:val="center"/>
          </w:tcPr>
          <w:p>
            <w:pPr>
              <w:pStyle w:val="Compact"/>
              <w:spacing w:before="60" w:after="60"/>
            </w:pPr>
            <w:r>
              <w:rPr>
                <w:b w:val="0"/>
                <w:sz w:val="18"/>
              </w:rPr>
              <w:t xml:space="preserve">250, 500, 1,000 or 2,000 AFR-labelled individuals</w:t>
            </w:r>
          </w:p>
        </w:tc>
      </w:tr>
      <w:tr>
        <w:trPr>
          <w:cantSplit/>
        </w:trPr>
        <w:tc>
          <w:tcPr>
            <w:vAlign w:val="center"/>
          </w:tcPr>
          <w:p>
            <w:pPr>
              <w:pStyle w:val="Compact"/>
              <w:spacing w:before="60" w:after="60"/>
            </w:pPr>
            <w:r>
              <w:rPr>
                <w:b w:val="0"/>
                <w:sz w:val="18"/>
              </w:rPr>
              <w:t xml:space="preserve">Allele frequency</w:t>
            </w:r>
          </w:p>
        </w:tc>
        <w:tc>
          <w:tcPr>
            <w:vAlign w:val="center"/>
          </w:tcPr>
          <w:p>
            <w:pPr>
              <w:pStyle w:val="Compact"/>
              <w:spacing w:before="60" w:after="60"/>
            </w:pPr>
            <w:r>
              <w:rPr>
                <w:b w:val="0"/>
                <w:sz w:val="18"/>
              </w:rPr>
              <w:t xml:space="preserve">0.30 in both cohorts</w:t>
            </w:r>
          </w:p>
        </w:tc>
      </w:tr>
      <w:tr>
        <w:trPr>
          <w:cantSplit/>
        </w:trPr>
        <w:tc>
          <w:tcPr>
            <w:vAlign w:val="center"/>
          </w:tcPr>
          <w:p>
            <w:pPr>
              <w:pStyle w:val="Compact"/>
              <w:spacing w:before="60" w:after="60"/>
            </w:pPr>
            <w:r>
              <w:rPr>
                <w:b w:val="0"/>
                <w:sz w:val="18"/>
              </w:rPr>
              <w:t xml:space="preserve">Haplotype persistence</w:t>
            </w:r>
          </w:p>
        </w:tc>
        <w:tc>
          <w:tcPr>
            <w:vAlign w:val="center"/>
          </w:tcPr>
          <w:p>
            <w:pPr>
              <w:pStyle w:val="Compact"/>
              <w:spacing w:before="60" w:after="60"/>
            </w:pPr>
            <w:r>
              <w:rPr>
                <w:b w:val="0"/>
                <w:sz w:val="18"/>
              </w:rPr>
              <w:t xml:space="preserve">0.80 in EUR; 0.35 in AFR</w:t>
            </w:r>
          </w:p>
        </w:tc>
      </w:tr>
      <w:tr>
        <w:trPr>
          <w:cantSplit/>
        </w:trPr>
        <w:tc>
          <w:tcPr>
            <w:vAlign w:val="center"/>
          </w:tcPr>
          <w:p>
            <w:pPr>
              <w:pStyle w:val="Compact"/>
              <w:spacing w:before="60" w:after="60"/>
            </w:pPr>
            <w:r>
              <w:rPr>
                <w:b w:val="0"/>
                <w:sz w:val="18"/>
              </w:rPr>
              <w:t xml:space="preserve">Replication</w:t>
            </w:r>
          </w:p>
        </w:tc>
        <w:tc>
          <w:tcPr>
            <w:vAlign w:val="center"/>
          </w:tcPr>
          <w:p>
            <w:pPr>
              <w:pStyle w:val="Compact"/>
              <w:spacing w:before="60" w:after="60"/>
            </w:pPr>
            <w:r>
              <w:rPr>
                <w:b w:val="0"/>
                <w:sz w:val="18"/>
              </w:rPr>
              <w:t xml:space="preserve">20 replicates per scenario and sample size; 240 paired dataset settings</w:t>
            </w:r>
          </w:p>
        </w:tc>
      </w:tr>
      <w:tr>
        <w:trPr>
          <w:cantSplit/>
        </w:trPr>
        <w:tc>
          <w:tcPr>
            <w:vAlign w:val="center"/>
          </w:tcPr>
          <w:p>
            <w:pPr>
              <w:pStyle w:val="Compact"/>
              <w:spacing w:before="60" w:after="60"/>
            </w:pPr>
            <w:r>
              <w:rPr>
                <w:b w:val="0"/>
                <w:sz w:val="18"/>
              </w:rPr>
              <w:t xml:space="preserve">Seed</w:t>
            </w:r>
          </w:p>
        </w:tc>
        <w:tc>
          <w:tcPr>
            <w:vAlign w:val="center"/>
          </w:tcPr>
          <w:p>
            <w:pPr>
              <w:pStyle w:val="Compact"/>
              <w:spacing w:before="60" w:after="60"/>
            </w:pPr>
            <w:r>
              <w:rPr>
                <w:b w:val="0"/>
                <w:sz w:val="18"/>
              </w:rPr>
              <w:t xml:space="preserve">20261026, with scenario- and replicate-specific random streams</w:t>
            </w:r>
          </w:p>
        </w:tc>
      </w:tr>
      <w:tr>
        <w:trPr>
          <w:cantSplit/>
        </w:trPr>
        <w:tc>
          <w:tcPr>
            <w:vAlign w:val="center"/>
          </w:tcPr>
          <w:p>
            <w:pPr>
              <w:pStyle w:val="Compact"/>
              <w:spacing w:before="60" w:after="60"/>
            </w:pPr>
            <w:r>
              <w:rPr>
                <w:b w:val="0"/>
                <w:sz w:val="18"/>
              </w:rPr>
              <w:t xml:space="preserve">Inputs</w:t>
            </w:r>
          </w:p>
        </w:tc>
        <w:tc>
          <w:tcPr>
            <w:vAlign w:val="center"/>
          </w:tcPr>
          <w:p>
            <w:pPr>
              <w:pStyle w:val="Compact"/>
              <w:spacing w:before="60" w:after="60"/>
            </w:pPr>
            <w:r>
              <w:rPr>
                <w:b w:val="0"/>
                <w:sz w:val="18"/>
              </w:rPr>
              <w:t xml:space="preserve">Identical marginal association statistics and in-sample LD for both approaches</w:t>
            </w:r>
          </w:p>
        </w:tc>
      </w:tr>
    </w:tbl>
    <w:p>
      <w:pPr>
        <w:pStyle w:val="BodyText"/>
      </w:pPr>
      <w:r>
        <w:t xml:space="preserve">Two haplotypes were generated per individual. At the first variant of each block, alleles were Bernoulli(0.30) draws. Subsequent variants retained the preceding allele with the cohort-specific persistence probability or received a fresh Bernoulli draw. Genotype dosage summed the two haplotypes. This persistence parameter is distinct from the Bayesian effect correlation below.</w:t>
      </w:r>
    </w:p>
    <w:p>
      <w:pPr>
        <w:pStyle w:val="BodyText"/>
      </w:pPr>
      <w:r>
        <w:t xml:space="preserve">For centred genotype matrix</w:t>
      </w:r>
      <w:r>
        <w:t xml:space="preserve"> </w:t>
      </w:r>
      <m:oMath>
        <m:sSub>
          <m:e>
            <m:r>
              <m:t>X</m:t>
            </m:r>
          </m:e>
          <m:sub>
            <m:r>
              <m:t>k</m:t>
            </m:r>
          </m:sub>
        </m:sSub>
      </m:oMath>
      <w:r>
        <w:t xml:space="preserve">, cohort</w:t>
      </w:r>
      <w:r>
        <w:t xml:space="preserve"> </w:t>
      </w:r>
      <m:oMath>
        <m:r>
          <m:t>k</m:t>
        </m:r>
      </m:oMath>
      <w:r>
        <w:t xml:space="preserve"> </w:t>
      </w:r>
      <w:r>
        <w:t xml:space="preserve">phenotypes followed</w:t>
      </w:r>
    </w:p>
    <w:p>
      <w:pPr>
        <w:pStyle w:val="BodyText"/>
      </w:pPr>
      <m:oMathPara>
        <m:oMathParaPr>
          <m:jc m:val="center"/>
        </m:oMathParaPr>
        <m:oMath>
          <m:sSub>
            <m:e>
              <m:r>
                <m:t>y</m:t>
              </m:r>
            </m:e>
            <m:sub>
              <m:r>
                <m:t>k</m:t>
              </m:r>
            </m:sub>
          </m:sSub>
          <m:r>
            <m:rPr>
              <m:sty m:val="p"/>
            </m:rPr>
            <m:t>=</m:t>
          </m:r>
          <m:sSub>
            <m:e>
              <m:r>
                <m:t>X</m:t>
              </m:r>
            </m:e>
            <m:sub>
              <m:r>
                <m:t>k</m:t>
              </m:r>
            </m:sub>
          </m:sSub>
          <m:sSub>
            <m:e>
              <m:r>
                <m:t>β</m:t>
              </m:r>
            </m:e>
            <m:sub>
              <m:r>
                <m:t>k</m:t>
              </m:r>
            </m:sub>
          </m:sSub>
          <m:r>
            <m:rPr>
              <m:sty m:val="p"/>
            </m:rPr>
            <m:t>+</m:t>
          </m:r>
          <m:sSub>
            <m:e>
              <m:r>
                <m:t>ε</m:t>
              </m:r>
            </m:e>
            <m:sub>
              <m:r>
                <m:t>k</m:t>
              </m:r>
            </m:sub>
          </m:sSub>
          <m:r>
            <m:rPr>
              <m:sty m:val="p"/>
            </m:rPr>
            <m:t>,</m:t>
          </m:r>
          <m:r>
            <m:t>  </m:t>
          </m:r>
          <m:sSub>
            <m:e>
              <m:r>
                <m:t>ε</m:t>
              </m:r>
            </m:e>
            <m:sub>
              <m:r>
                <m:t>k</m:t>
              </m:r>
            </m:sub>
          </m:sSub>
          <m:r>
            <m:rPr>
              <m:sty m:val="p"/>
            </m:rPr>
            <m:t>∼</m:t>
          </m:r>
          <m:r>
            <m:t>N</m:t>
          </m:r>
          <m:r>
            <m:rPr>
              <m:sty m:val="p"/>
            </m:rPr>
            <m:t>(</m:t>
          </m:r>
          <m:r>
            <m:t>0</m:t>
          </m:r>
          <m:r>
            <m:rPr>
              <m:sty m:val="p"/>
            </m:rPr>
            <m:t>,</m:t>
          </m:r>
          <m:sSub>
            <m:e>
              <m:r>
                <m:t>I</m:t>
              </m:r>
            </m:e>
            <m:sub>
              <m:sSub>
                <m:e>
                  <m:r>
                    <m:t>n</m:t>
                  </m:r>
                </m:e>
                <m:sub>
                  <m:r>
                    <m:t>k</m:t>
                  </m:r>
                </m:sub>
              </m:sSub>
            </m:sub>
          </m:sSub>
          <m:r>
            <m:rPr>
              <m:sty m:val="p"/>
            </m:rPr>
            <m:t>)</m:t>
          </m:r>
          <m:r>
            <m:rPr>
              <m:sty m:val="p"/>
            </m:rPr>
            <m:t>.</m:t>
          </m:r>
        </m:oMath>
      </m:oMathPara>
    </w:p>
    <w:p>
      <w:pPr>
        <w:pStyle w:val="FirstParagraph"/>
      </w:pPr>
      <w:r>
        <w:t xml:space="preserve">All variants other than those listed below had zero generating effects.</w:t>
      </w:r>
    </w:p>
    <w:tbl>
      <w:tblPr>
        <w:tblStyle w:val="Table"/>
        <w:tblW w:type="auto" w:w="0"/>
        <w:tblLayout w:type="autofit"/>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on"/>
          <w:cantSplit/>
          <w:tblHeader/>
        </w:trPr>
        <w:tc>
          <w:tcPr>
            <w:vAlign w:val="center"/>
            <w:shd w:fill="E8EFF4"/>
          </w:tcPr>
          <w:p>
            <w:pPr>
              <w:pStyle w:val="Compact"/>
              <w:spacing w:before="60" w:after="60"/>
            </w:pPr>
            <w:r>
              <w:rPr>
                <w:b/>
                <w:sz w:val="18"/>
              </w:rPr>
              <w:t xml:space="preserve">Scenario</w:t>
            </w:r>
          </w:p>
        </w:tc>
        <w:tc>
          <w:tcPr>
            <w:vAlign w:val="center"/>
            <w:shd w:fill="E8EFF4"/>
          </w:tcPr>
          <w:p>
            <w:pPr>
              <w:pStyle w:val="Compact"/>
              <w:spacing w:before="60" w:after="60"/>
              <w:jc w:val="right"/>
            </w:pPr>
            <w:r>
              <w:rPr>
                <w:b/>
                <w:sz w:val="18"/>
              </w:rPr>
              <w:t xml:space="preserve">rsSIM002 EUR</w:t>
            </w:r>
          </w:p>
        </w:tc>
        <w:tc>
          <w:tcPr>
            <w:vAlign w:val="center"/>
            <w:shd w:fill="E8EFF4"/>
          </w:tcPr>
          <w:p>
            <w:pPr>
              <w:pStyle w:val="Compact"/>
              <w:spacing w:before="60" w:after="60"/>
              <w:jc w:val="right"/>
            </w:pPr>
            <w:r>
              <w:rPr>
                <w:b/>
                <w:sz w:val="18"/>
              </w:rPr>
              <w:t xml:space="preserve">rsSIM002 AFR</w:t>
            </w:r>
          </w:p>
        </w:tc>
        <w:tc>
          <w:tcPr>
            <w:vAlign w:val="center"/>
            <w:shd w:fill="E8EFF4"/>
          </w:tcPr>
          <w:p>
            <w:pPr>
              <w:pStyle w:val="Compact"/>
              <w:spacing w:before="60" w:after="60"/>
              <w:jc w:val="right"/>
            </w:pPr>
            <w:r>
              <w:rPr>
                <w:b/>
                <w:sz w:val="18"/>
              </w:rPr>
              <w:t xml:space="preserve">rsSIM006 EUR</w:t>
            </w:r>
          </w:p>
        </w:tc>
        <w:tc>
          <w:tcPr>
            <w:vAlign w:val="center"/>
            <w:shd w:fill="E8EFF4"/>
          </w:tcPr>
          <w:p>
            <w:pPr>
              <w:pStyle w:val="Compact"/>
              <w:spacing w:before="60" w:after="60"/>
              <w:jc w:val="right"/>
            </w:pPr>
            <w:r>
              <w:rPr>
                <w:b/>
                <w:sz w:val="18"/>
              </w:rPr>
              <w:t xml:space="preserve">rsSIM006 AFR</w:t>
            </w:r>
          </w:p>
        </w:tc>
      </w:tr>
      <w:tr>
        <w:trPr>
          <w:cantSplit/>
        </w:trPr>
        <w:tc>
          <w:tcPr>
            <w:vAlign w:val="center"/>
          </w:tcPr>
          <w:p>
            <w:pPr>
              <w:pStyle w:val="Compact"/>
              <w:spacing w:before="60" w:after="60"/>
            </w:pPr>
            <w:r>
              <w:rPr>
                <w:b w:val="0"/>
                <w:sz w:val="18"/>
              </w:rPr>
              <w:t xml:space="preserve">Shared effects</w:t>
            </w:r>
          </w:p>
        </w:tc>
        <w:tc>
          <w:tcPr>
            <w:vAlign w:val="center"/>
          </w:tcPr>
          <w:p>
            <w:pPr>
              <w:pStyle w:val="Compact"/>
              <w:spacing w:before="60" w:after="60"/>
              <w:jc w:val="right"/>
            </w:pPr>
            <w:r>
              <w:rPr>
                <w:b w:val="0"/>
                <w:sz w:val="18"/>
              </w:rPr>
              <w:t xml:space="preserve">0.18</w:t>
            </w:r>
          </w:p>
        </w:tc>
        <w:tc>
          <w:tcPr>
            <w:vAlign w:val="center"/>
          </w:tcPr>
          <w:p>
            <w:pPr>
              <w:pStyle w:val="Compact"/>
              <w:spacing w:before="60" w:after="60"/>
              <w:jc w:val="right"/>
            </w:pPr>
            <w:r>
              <w:rPr>
                <w:b w:val="0"/>
                <w:sz w:val="18"/>
              </w:rPr>
              <w:t xml:space="preserve">0.18</w:t>
            </w:r>
          </w:p>
        </w:tc>
        <w:tc>
          <w:tcPr>
            <w:vAlign w:val="center"/>
          </w:tcPr>
          <w:p>
            <w:pPr>
              <w:pStyle w:val="Compact"/>
              <w:spacing w:before="60" w:after="60"/>
              <w:jc w:val="right"/>
            </w:pPr>
            <w:r>
              <w:rPr>
                <w:b w:val="0"/>
                <w:sz w:val="18"/>
              </w:rPr>
              <w:t xml:space="preserve">−0.16</w:t>
            </w:r>
          </w:p>
        </w:tc>
        <w:tc>
          <w:tcPr>
            <w:vAlign w:val="center"/>
          </w:tcPr>
          <w:p>
            <w:pPr>
              <w:pStyle w:val="Compact"/>
              <w:spacing w:before="60" w:after="60"/>
              <w:jc w:val="right"/>
            </w:pPr>
            <w:r>
              <w:rPr>
                <w:b w:val="0"/>
                <w:sz w:val="18"/>
              </w:rPr>
              <w:t xml:space="preserve">−0.16</w:t>
            </w:r>
          </w:p>
        </w:tc>
      </w:tr>
      <w:tr>
        <w:trPr>
          <w:cantSplit/>
        </w:trPr>
        <w:tc>
          <w:tcPr>
            <w:vAlign w:val="center"/>
          </w:tcPr>
          <w:p>
            <w:pPr>
              <w:pStyle w:val="Compact"/>
              <w:spacing w:before="60" w:after="60"/>
            </w:pPr>
            <w:r>
              <w:rPr>
                <w:b w:val="0"/>
                <w:sz w:val="18"/>
              </w:rPr>
              <w:t xml:space="preserve">Heterogeneous effects</w:t>
            </w:r>
          </w:p>
        </w:tc>
        <w:tc>
          <w:tcPr>
            <w:vAlign w:val="center"/>
          </w:tcPr>
          <w:p>
            <w:pPr>
              <w:pStyle w:val="Compact"/>
              <w:spacing w:before="60" w:after="60"/>
              <w:jc w:val="right"/>
            </w:pPr>
            <w:r>
              <w:rPr>
                <w:b w:val="0"/>
                <w:sz w:val="18"/>
              </w:rPr>
              <w:t xml:space="preserve">0.18</w:t>
            </w:r>
          </w:p>
        </w:tc>
        <w:tc>
          <w:tcPr>
            <w:vAlign w:val="center"/>
          </w:tcPr>
          <w:p>
            <w:pPr>
              <w:pStyle w:val="Compact"/>
              <w:spacing w:before="60" w:after="60"/>
              <w:jc w:val="right"/>
            </w:pPr>
            <w:r>
              <w:rPr>
                <w:b w:val="0"/>
                <w:sz w:val="18"/>
              </w:rPr>
              <w:t xml:space="preserve">0.09</w:t>
            </w:r>
          </w:p>
        </w:tc>
        <w:tc>
          <w:tcPr>
            <w:vAlign w:val="center"/>
          </w:tcPr>
          <w:p>
            <w:pPr>
              <w:pStyle w:val="Compact"/>
              <w:spacing w:before="60" w:after="60"/>
              <w:jc w:val="right"/>
            </w:pPr>
            <w:r>
              <w:rPr>
                <w:b w:val="0"/>
                <w:sz w:val="18"/>
              </w:rPr>
              <w:t xml:space="preserve">0.00</w:t>
            </w:r>
          </w:p>
        </w:tc>
        <w:tc>
          <w:tcPr>
            <w:vAlign w:val="center"/>
          </w:tcPr>
          <w:p>
            <w:pPr>
              <w:pStyle w:val="Compact"/>
              <w:spacing w:before="60" w:after="60"/>
              <w:jc w:val="right"/>
            </w:pPr>
            <w:r>
              <w:rPr>
                <w:b w:val="0"/>
                <w:sz w:val="18"/>
              </w:rPr>
              <w:t xml:space="preserve">0.28</w:t>
            </w:r>
          </w:p>
        </w:tc>
      </w:tr>
      <w:tr>
        <w:trPr>
          <w:cantSplit/>
        </w:trPr>
        <w:tc>
          <w:tcPr>
            <w:vAlign w:val="center"/>
          </w:tcPr>
          <w:p>
            <w:pPr>
              <w:pStyle w:val="Compact"/>
              <w:spacing w:before="60" w:after="60"/>
            </w:pPr>
            <w:r>
              <w:rPr>
                <w:b w:val="0"/>
                <w:sz w:val="18"/>
              </w:rPr>
              <w:t xml:space="preserve">Null</w:t>
            </w:r>
          </w:p>
        </w:tc>
        <w:tc>
          <w:tcPr>
            <w:vAlign w:val="center"/>
          </w:tcPr>
          <w:p>
            <w:pPr>
              <w:pStyle w:val="Compact"/>
              <w:spacing w:before="60" w:after="60"/>
              <w:jc w:val="right"/>
            </w:pPr>
            <w:r>
              <w:rPr>
                <w:b w:val="0"/>
                <w:sz w:val="18"/>
              </w:rPr>
              <w:t xml:space="preserve">0.00</w:t>
            </w:r>
          </w:p>
        </w:tc>
        <w:tc>
          <w:tcPr>
            <w:vAlign w:val="center"/>
          </w:tcPr>
          <w:p>
            <w:pPr>
              <w:pStyle w:val="Compact"/>
              <w:spacing w:before="60" w:after="60"/>
              <w:jc w:val="right"/>
            </w:pPr>
            <w:r>
              <w:rPr>
                <w:b w:val="0"/>
                <w:sz w:val="18"/>
              </w:rPr>
              <w:t xml:space="preserve">0.00</w:t>
            </w:r>
          </w:p>
        </w:tc>
        <w:tc>
          <w:tcPr>
            <w:vAlign w:val="center"/>
          </w:tcPr>
          <w:p>
            <w:pPr>
              <w:pStyle w:val="Compact"/>
              <w:spacing w:before="60" w:after="60"/>
              <w:jc w:val="right"/>
            </w:pPr>
            <w:r>
              <w:rPr>
                <w:b w:val="0"/>
                <w:sz w:val="18"/>
              </w:rPr>
              <w:t xml:space="preserve">0.00</w:t>
            </w:r>
          </w:p>
        </w:tc>
        <w:tc>
          <w:tcPr>
            <w:vAlign w:val="center"/>
          </w:tcPr>
          <w:p>
            <w:pPr>
              <w:pStyle w:val="Compact"/>
              <w:spacing w:before="60" w:after="60"/>
              <w:jc w:val="right"/>
            </w:pPr>
            <w:r>
              <w:rPr>
                <w:b w:val="0"/>
                <w:sz w:val="18"/>
              </w:rPr>
              <w:t xml:space="preserve">0.00</w:t>
            </w:r>
          </w:p>
        </w:tc>
      </w:tr>
    </w:tbl>
    <w:p>
      <w:pPr>
        <w:pStyle w:val="BodyText"/>
      </w:pPr>
      <w:r>
        <w:t xml:space="preserve">Within each scenario and replicate, the EUR cohort was reused across sample sizes and AFR samples were nested subsets of the same 2,000 individuals. Thus the 240 settings are not 240 independent experiments. Cohorts did not overlap. Relatives, missing genotypes, stratification, admixture and external LD-reference mismatch were not simulated. Equal allele frequencies help isolate sample-size and LD effects but do not reproduce real population diversity.</w:t>
      </w:r>
    </w:p>
    <w:bookmarkEnd w:id="13"/>
    <w:bookmarkStart w:id="14" w:name="summary-data-likelihood"/>
    <w:p>
      <w:pPr>
        <w:pStyle w:val="Heading2"/>
        <w:keepNext/>
      </w:pPr>
      <w:r>
        <w:t xml:space="preserve">Summary-data likelihood</w:t>
      </w:r>
    </w:p>
    <w:p>
      <w:pPr>
        <w:pStyle w:val="FirstParagraph"/>
      </w:pPr>
      <w:r>
        <w:t xml:space="preserve">With centred phenotypes, define</w:t>
      </w:r>
      <w:r>
        <w:t xml:space="preserve"> </w:t>
      </w:r>
      <m:oMath>
        <m:sSub>
          <m:e>
            <m:r>
              <m:t>Q</m:t>
            </m:r>
          </m:e>
          <m:sub>
            <m:r>
              <m:t>k</m:t>
            </m:r>
          </m:sub>
        </m:sSub>
        <m:r>
          <m:rPr>
            <m:sty m:val="p"/>
          </m:rPr>
          <m:t>=</m:t>
        </m:r>
        <m:sSubSup>
          <m:e>
            <m:r>
              <m:t>X</m:t>
            </m:r>
          </m:e>
          <m:sub>
            <m:r>
              <m:t>k</m:t>
            </m:r>
          </m:sub>
          <m:sup>
            <m:r>
              <m:t>T</m:t>
            </m:r>
          </m:sup>
        </m:sSubSup>
        <m:sSub>
          <m:e>
            <m:r>
              <m:t>X</m:t>
            </m:r>
          </m:e>
          <m:sub>
            <m:r>
              <m:t>k</m:t>
            </m:r>
          </m:sub>
        </m:sSub>
      </m:oMath>
      <w:r>
        <w:t xml:space="preserve">,</w:t>
      </w:r>
      <w:r>
        <w:t xml:space="preserve"> </w:t>
      </w:r>
      <m:oMath>
        <m:sSub>
          <m:e>
            <m:r>
              <m:t>q</m:t>
            </m:r>
          </m:e>
          <m:sub>
            <m:r>
              <m:t>k</m:t>
            </m:r>
          </m:sub>
        </m:sSub>
        <m:r>
          <m:rPr>
            <m:sty m:val="p"/>
          </m:rPr>
          <m:t>=</m:t>
        </m:r>
        <m:sSubSup>
          <m:e>
            <m:r>
              <m:t>X</m:t>
            </m:r>
          </m:e>
          <m:sub>
            <m:r>
              <m:t>k</m:t>
            </m:r>
          </m:sub>
          <m:sup>
            <m:r>
              <m:t>T</m:t>
            </m:r>
          </m:sup>
        </m:sSubSup>
        <m:sSub>
          <m:e>
            <m:r>
              <m:t>y</m:t>
            </m:r>
          </m:e>
          <m:sub>
            <m:r>
              <m:t>k</m:t>
            </m:r>
          </m:sub>
        </m:sSub>
      </m:oMath>
      <w:r>
        <w:t xml:space="preserve"> </w:t>
      </w:r>
      <w:r>
        <w:t xml:space="preserve">and</w:t>
      </w:r>
      <w:r>
        <w:t xml:space="preserve"> </w:t>
      </w:r>
      <m:oMath>
        <m:sSub>
          <m:e>
            <m:r>
              <m:t>d</m:t>
            </m:r>
          </m:e>
          <m:sub>
            <m:r>
              <m:t>j</m:t>
            </m:r>
            <m:r>
              <m:t>k</m:t>
            </m:r>
          </m:sub>
        </m:sSub>
        <m:r>
          <m:rPr>
            <m:sty m:val="p"/>
          </m:rPr>
          <m:t>=</m:t>
        </m:r>
        <m:r>
          <m:rPr>
            <m:sty m:val="p"/>
          </m:rPr>
          <m:t>(</m:t>
        </m:r>
        <m:sSub>
          <m:e>
            <m:r>
              <m:t>Q</m:t>
            </m:r>
          </m:e>
          <m:sub>
            <m:r>
              <m:t>k</m:t>
            </m:r>
          </m:sub>
        </m:sSub>
        <m:sSub>
          <m:e>
            <m:r>
              <m:rPr>
                <m:sty m:val="p"/>
              </m:rPr>
              <m:t>)</m:t>
            </m:r>
          </m:e>
          <m:sub>
            <m:r>
              <m:t>j</m:t>
            </m:r>
            <m:r>
              <m:t>j</m:t>
            </m:r>
          </m:sub>
        </m:sSub>
      </m:oMath>
      <w:r>
        <w:t xml:space="preserve">. Marginal estimates and standard errors came from single-variant regression. Sufficient statistics were reconstructed from those summaries, LD matrix</w:t>
      </w:r>
      <w:r>
        <w:t xml:space="preserve"> </w:t>
      </w:r>
      <m:oMath>
        <m:sSub>
          <m:e>
            <m:r>
              <m:t>R</m:t>
            </m:r>
          </m:e>
          <m:sub>
            <m:r>
              <m:t>k</m:t>
            </m:r>
          </m:sub>
        </m:sSub>
      </m:oMath>
      <w:r>
        <w:t xml:space="preserve"> </w:t>
      </w:r>
      <w:r>
        <w:t xml:space="preserve">and exact in-sample genotype sums of squares:</w:t>
      </w:r>
    </w:p>
    <w:p>
      <w:pPr>
        <w:pStyle w:val="BodyText"/>
      </w:pPr>
      <m:oMathPara>
        <m:oMathParaPr>
          <m:jc m:val="center"/>
        </m:oMathParaPr>
        <m:oMath>
          <m:r>
            <m:rPr>
              <m:sty m:val="p"/>
            </m:rPr>
            <m:t>(</m:t>
          </m:r>
          <m:sSub>
            <m:e>
              <m:r>
                <m:t>Q</m:t>
              </m:r>
            </m:e>
            <m:sub>
              <m:r>
                <m:t>k</m:t>
              </m:r>
            </m:sub>
          </m:sSub>
          <m:sSub>
            <m:e>
              <m:r>
                <m:rPr>
                  <m:sty m:val="p"/>
                </m:rPr>
                <m:t>)</m:t>
              </m:r>
            </m:e>
            <m:sub>
              <m:r>
                <m:t>i</m:t>
              </m:r>
              <m:r>
                <m:t>j</m:t>
              </m:r>
            </m:sub>
          </m:sSub>
          <m:r>
            <m:rPr>
              <m:sty m:val="p"/>
            </m:rPr>
            <m:t>=</m:t>
          </m:r>
          <m:r>
            <m:rPr>
              <m:sty m:val="p"/>
            </m:rPr>
            <m:t>(</m:t>
          </m:r>
          <m:sSub>
            <m:e>
              <m:r>
                <m:t>R</m:t>
              </m:r>
            </m:e>
            <m:sub>
              <m:r>
                <m:t>k</m:t>
              </m:r>
            </m:sub>
          </m:sSub>
          <m:sSub>
            <m:e>
              <m:r>
                <m:rPr>
                  <m:sty m:val="p"/>
                </m:rPr>
                <m:t>)</m:t>
              </m:r>
            </m:e>
            <m:sub>
              <m:r>
                <m:t>i</m:t>
              </m:r>
              <m:r>
                <m:t>j</m:t>
              </m:r>
            </m:sub>
          </m:sSub>
          <m:rad>
            <m:radPr>
              <m:degHide m:val="on"/>
            </m:radPr>
            <m:deg/>
            <m:e>
              <m:sSub>
                <m:e>
                  <m:r>
                    <m:t>d</m:t>
                  </m:r>
                </m:e>
                <m:sub>
                  <m:r>
                    <m:t>i</m:t>
                  </m:r>
                  <m:r>
                    <m:t>k</m:t>
                  </m:r>
                </m:sub>
              </m:sSub>
              <m:sSub>
                <m:e>
                  <m:r>
                    <m:t>d</m:t>
                  </m:r>
                </m:e>
                <m:sub>
                  <m:r>
                    <m:t>j</m:t>
                  </m:r>
                  <m:r>
                    <m:t>k</m:t>
                  </m:r>
                </m:sub>
              </m:sSub>
            </m:e>
          </m:rad>
          <m:r>
            <m:rPr>
              <m:sty m:val="p"/>
            </m:rPr>
            <m:t>,</m:t>
          </m:r>
          <m:r>
            <m:t>  </m:t>
          </m:r>
          <m:r>
            <m:rPr>
              <m:sty m:val="p"/>
            </m:rPr>
            <m:t>(</m:t>
          </m:r>
          <m:sSub>
            <m:e>
              <m:r>
                <m:t>q</m:t>
              </m:r>
            </m:e>
            <m:sub>
              <m:r>
                <m:t>k</m:t>
              </m:r>
            </m:sub>
          </m:sSub>
          <m:sSub>
            <m:e>
              <m:r>
                <m:rPr>
                  <m:sty m:val="p"/>
                </m:rPr>
                <m:t>)</m:t>
              </m:r>
            </m:e>
            <m:sub>
              <m:r>
                <m:t>j</m:t>
              </m:r>
            </m:sub>
          </m:sSub>
          <m:r>
            <m:rPr>
              <m:sty m:val="p"/>
            </m:rPr>
            <m:t>=</m:t>
          </m:r>
          <m:sSub>
            <m:e>
              <m:r>
                <m:t>d</m:t>
              </m:r>
            </m:e>
            <m:sub>
              <m:r>
                <m:t>j</m:t>
              </m:r>
              <m:r>
                <m:t>k</m:t>
              </m:r>
            </m:sub>
          </m:sSub>
          <m:sSub>
            <m:e>
              <m:acc>
                <m:accPr>
                  <m:chr m:val="̂"/>
                </m:accPr>
                <m:e>
                  <m:r>
                    <m:t>b</m:t>
                  </m:r>
                </m:e>
              </m:acc>
            </m:e>
            <m:sub>
              <m:r>
                <m:t>j</m:t>
              </m:r>
              <m:r>
                <m:t>k</m:t>
              </m:r>
            </m:sub>
          </m:sSub>
          <m:r>
            <m:rPr>
              <m:sty m:val="p"/>
            </m:rPr>
            <m:t>.</m:t>
          </m:r>
        </m:oMath>
      </m:oMathPara>
    </w:p>
    <w:p>
      <w:pPr>
        <w:pStyle w:val="FirstParagraph"/>
      </w:pPr>
      <w:r>
        <w:t xml:space="preserve">The phenotype sum of squares was reconstructed as the median across variants of</w:t>
      </w:r>
      <w:r>
        <w:t xml:space="preserve"> </w:t>
      </w:r>
      <m:oMath>
        <m:r>
          <m:rPr>
            <m:sty m:val="p"/>
          </m:rPr>
          <m:t>(</m:t>
        </m:r>
        <m:sSub>
          <m:e>
            <m:r>
              <m:t>n</m:t>
            </m:r>
          </m:e>
          <m:sub>
            <m:r>
              <m:t>k</m:t>
            </m:r>
          </m:sub>
        </m:sSub>
        <m:r>
          <m:rPr>
            <m:sty m:val="p"/>
          </m:rPr>
          <m:t>−</m:t>
        </m:r>
        <m:r>
          <m:t>2</m:t>
        </m:r>
        <m:r>
          <m:rPr>
            <m:sty m:val="p"/>
          </m:rPr>
          <m:t>)</m:t>
        </m:r>
        <m:sSub>
          <m:e>
            <m:r>
              <m:t>d</m:t>
            </m:r>
          </m:e>
          <m:sub>
            <m:r>
              <m:t>j</m:t>
            </m:r>
            <m:r>
              <m:t>k</m:t>
            </m:r>
          </m:sub>
        </m:sSub>
        <m:r>
          <m:rPr>
            <m:sty m:val="p"/>
          </m:rPr>
          <m:t>SE</m:t>
        </m:r>
        <m:r>
          <m:rPr>
            <m:sty m:val="p"/>
          </m:rPr>
          <m:t>(</m:t>
        </m:r>
        <m:sSub>
          <m:e>
            <m:acc>
              <m:accPr>
                <m:chr m:val="̂"/>
              </m:accPr>
              <m:e>
                <m:r>
                  <m:t>b</m:t>
                </m:r>
              </m:e>
            </m:acc>
          </m:e>
          <m:sub>
            <m:r>
              <m:t>j</m:t>
            </m:r>
            <m:r>
              <m:t>k</m:t>
            </m:r>
          </m:sub>
        </m:sSub>
        <m:sSup>
          <m:e>
            <m:r>
              <m:rPr>
                <m:sty m:val="p"/>
              </m:rPr>
              <m:t>)</m:t>
            </m:r>
          </m:e>
          <m:sup>
            <m:r>
              <m:t>2</m:t>
            </m:r>
          </m:sup>
        </m:sSup>
        <m:r>
          <m:rPr>
            <m:sty m:val="p"/>
          </m:rPr>
          <m:t>+</m:t>
        </m:r>
        <m:sSub>
          <m:e>
            <m:r>
              <m:t>d</m:t>
            </m:r>
          </m:e>
          <m:sub>
            <m:r>
              <m:t>j</m:t>
            </m:r>
            <m:r>
              <m:t>k</m:t>
            </m:r>
          </m:sub>
        </m:sSub>
        <m:sSubSup>
          <m:e>
            <m:acc>
              <m:accPr>
                <m:chr m:val="̂"/>
              </m:accPr>
              <m:e>
                <m:r>
                  <m:t>b</m:t>
                </m:r>
              </m:e>
            </m:acc>
          </m:e>
          <m:sub>
            <m:r>
              <m:t>j</m:t>
            </m:r>
            <m:r>
              <m:t>k</m:t>
            </m:r>
          </m:sub>
          <m:sup>
            <m:r>
              <m:t> </m:t>
            </m:r>
            <m:r>
              <m:t>2</m:t>
            </m:r>
          </m:sup>
        </m:sSubSup>
      </m:oMath>
      <w:r>
        <w:t xml:space="preserve">. Residual variance was then estimated from the full eight-variant regression:</w:t>
      </w:r>
    </w:p>
    <w:p>
      <w:pPr>
        <w:pStyle w:val="BodyText"/>
      </w:pPr>
      <m:oMathPara>
        <m:oMathParaPr>
          <m:jc m:val="center"/>
        </m:oMathParaPr>
        <m:oMath>
          <m:sSubSup>
            <m:e>
              <m:acc>
                <m:accPr>
                  <m:chr m:val="̂"/>
                </m:accPr>
                <m:e>
                  <m:r>
                    <m:t>σ</m:t>
                  </m:r>
                </m:e>
              </m:acc>
            </m:e>
            <m:sub>
              <m:r>
                <m:t>k</m:t>
              </m:r>
            </m:sub>
            <m:sup>
              <m:r>
                <m:t>2</m:t>
              </m:r>
            </m:sup>
          </m:sSubSup>
          <m:r>
            <m:rPr>
              <m:sty m:val="p"/>
            </m:rPr>
            <m:t>=</m:t>
          </m:r>
          <m:f>
            <m:fPr>
              <m:type m:val="bar"/>
            </m:fPr>
            <m:num>
              <m:sSub>
                <m:e>
                  <m:r>
                    <m:t>S</m:t>
                  </m:r>
                </m:e>
                <m:sub>
                  <m:r>
                    <m:t>y</m:t>
                  </m:r>
                  <m:r>
                    <m:t>y</m:t>
                  </m:r>
                  <m:r>
                    <m:rPr>
                      <m:sty m:val="p"/>
                    </m:rPr>
                    <m:t>,</m:t>
                  </m:r>
                  <m:r>
                    <m:t>k</m:t>
                  </m:r>
                </m:sub>
              </m:sSub>
              <m:r>
                <m:rPr>
                  <m:sty m:val="p"/>
                </m:rPr>
                <m:t>−</m:t>
              </m:r>
              <m:sSubSup>
                <m:e>
                  <m:r>
                    <m:t>q</m:t>
                  </m:r>
                </m:e>
                <m:sub>
                  <m:r>
                    <m:t>k</m:t>
                  </m:r>
                </m:sub>
                <m:sup>
                  <m:r>
                    <m:t>T</m:t>
                  </m:r>
                </m:sup>
              </m:sSubSup>
              <m:sSubSup>
                <m:e>
                  <m:r>
                    <m:t>Q</m:t>
                  </m:r>
                </m:e>
                <m:sub>
                  <m:r>
                    <m:t>k</m:t>
                  </m:r>
                </m:sub>
                <m:sup>
                  <m:r>
                    <m:rPr>
                      <m:sty m:val="p"/>
                    </m:rPr>
                    <m:t>−</m:t>
                  </m:r>
                  <m:r>
                    <m:t>1</m:t>
                  </m:r>
                </m:sup>
              </m:sSubSup>
              <m:sSub>
                <m:e>
                  <m:r>
                    <m:t>q</m:t>
                  </m:r>
                </m:e>
                <m:sub>
                  <m:r>
                    <m:t>k</m:t>
                  </m:r>
                </m:sub>
              </m:sSub>
            </m:num>
            <m:den>
              <m:sSub>
                <m:e>
                  <m:r>
                    <m:t>n</m:t>
                  </m:r>
                </m:e>
                <m:sub>
                  <m:r>
                    <m:t>k</m:t>
                  </m:r>
                </m:sub>
              </m:sSub>
              <m:r>
                <m:rPr>
                  <m:sty m:val="p"/>
                </m:rPr>
                <m:t>−</m:t>
              </m:r>
              <m:r>
                <m:t>8</m:t>
              </m:r>
              <m:r>
                <m:rPr>
                  <m:sty m:val="p"/>
                </m:rPr>
                <m:t>−</m:t>
              </m:r>
              <m:r>
                <m:t>1</m:t>
              </m:r>
            </m:den>
          </m:f>
          <m:r>
            <m:rPr>
              <m:sty m:val="p"/>
            </m:rPr>
            <m:t>.</m:t>
          </m:r>
        </m:oMath>
      </m:oMathPara>
    </w:p>
    <w:p>
      <w:pPr>
        <w:pStyle w:val="FirstParagraph"/>
      </w:pPr>
      <w:r>
        <w:t xml:space="preserve">This variance was held fixed. The analysis is therefore conditional on plug-in residual variances and fixed priors; it does not integrate their uncertainty. This likelihood is appropriate to the specified quantitative linear model, not a drop-in likelihood for binary or survival GWAS.</w:t>
      </w:r>
    </w:p>
    <w:bookmarkEnd w:id="14"/>
    <w:bookmarkStart w:id="15" w:name="bayesian-hierarchy-and-exact-inference"/>
    <w:p>
      <w:pPr>
        <w:pStyle w:val="Heading2"/>
        <w:keepNext/>
      </w:pPr>
      <w:r>
        <w:t xml:space="preserve">Bayesian hierarchy and exact inference</w:t>
      </w:r>
    </w:p>
    <w:p>
      <w:pPr>
        <w:pStyle w:val="FirstParagraph"/>
      </w:pPr>
      <w:r>
        <w:t xml:space="preserve">Each variant had a shared indicator</w:t>
      </w:r>
      <w:r>
        <w:t xml:space="preserve"> </w:t>
      </w:r>
      <m:oMath>
        <m:sSub>
          <m:e>
            <m:r>
              <m:t>γ</m:t>
            </m:r>
          </m:e>
          <m:sub>
            <m:r>
              <m:t>j</m:t>
            </m:r>
          </m:sub>
        </m:sSub>
        <m:r>
          <m:rPr>
            <m:sty m:val="p"/>
          </m:rPr>
          <m:t>∼</m:t>
        </m:r>
        <m:r>
          <m:rPr>
            <m:sty m:val="p"/>
          </m:rPr>
          <m:t>Bernoulli</m:t>
        </m:r>
        <m:r>
          <m:rPr>
            <m:sty m:val="p"/>
          </m:rPr>
          <m:t>(</m:t>
        </m:r>
        <m:r>
          <m:t>0.2</m:t>
        </m:r>
        <m:r>
          <m:rPr>
            <m:sty m:val="p"/>
          </m:rPr>
          <m:t>)</m:t>
        </m:r>
      </m:oMath>
      <w:r>
        <w:t xml:space="preserve">. Exclusion set both cohort effects to zero. Included effects followed</w:t>
      </w:r>
    </w:p>
    <w:p>
      <w:pPr>
        <w:pStyle w:val="BodyText"/>
      </w:pPr>
      <m:oMathPara>
        <m:oMathParaPr>
          <m:jc m:val="center"/>
        </m:oMathParaPr>
        <m:oMath>
          <m:sSub>
            <m:e>
              <m:r>
                <m:t>β</m:t>
              </m:r>
            </m:e>
            <m:sub>
              <m:r>
                <m:t>j</m:t>
              </m:r>
              <m:r>
                <m:t>k</m:t>
              </m:r>
            </m:sub>
          </m:sSub>
          <m:r>
            <m:rPr>
              <m:sty m:val="p"/>
            </m:rPr>
            <m:t>=</m:t>
          </m:r>
          <m:sSub>
            <m:e>
              <m:r>
                <m:t>μ</m:t>
              </m:r>
            </m:e>
            <m:sub>
              <m:r>
                <m:t>j</m:t>
              </m:r>
            </m:sub>
          </m:sSub>
          <m:r>
            <m:rPr>
              <m:sty m:val="p"/>
            </m:rPr>
            <m:t>+</m:t>
          </m:r>
          <m:sSub>
            <m:e>
              <m:r>
                <m:t>δ</m:t>
              </m:r>
            </m:e>
            <m:sub>
              <m:r>
                <m:t>j</m:t>
              </m:r>
              <m:r>
                <m:t>k</m:t>
              </m:r>
            </m:sub>
          </m:sSub>
          <m:r>
            <m:rPr>
              <m:sty m:val="p"/>
            </m:rPr>
            <m:t>,</m:t>
          </m:r>
          <m:r>
            <m:t>  </m:t>
          </m:r>
          <m:sSub>
            <m:e>
              <m:r>
                <m:t>μ</m:t>
              </m:r>
            </m:e>
            <m:sub>
              <m:r>
                <m:t>j</m:t>
              </m:r>
            </m:sub>
          </m:sSub>
          <m:r>
            <m:rPr>
              <m:sty m:val="p"/>
            </m:rPr>
            <m:t>∼</m:t>
          </m:r>
          <m:r>
            <m:t>N</m:t>
          </m:r>
          <m:r>
            <m:rPr>
              <m:sty m:val="p"/>
            </m:rPr>
            <m:t>(</m:t>
          </m:r>
          <m:r>
            <m:t>0</m:t>
          </m:r>
          <m:r>
            <m:rPr>
              <m:sty m:val="p"/>
            </m:rPr>
            <m:t>,</m:t>
          </m:r>
          <m:r>
            <m:t>ρ</m:t>
          </m:r>
          <m:sSup>
            <m:e>
              <m:r>
                <m:t>τ</m:t>
              </m:r>
            </m:e>
            <m:sup>
              <m:r>
                <m:t>2</m:t>
              </m:r>
            </m:sup>
          </m:sSup>
          <m:r>
            <m:rPr>
              <m:sty m:val="p"/>
            </m:rPr>
            <m:t>)</m:t>
          </m:r>
          <m:r>
            <m:rPr>
              <m:sty m:val="p"/>
            </m:rPr>
            <m:t>,</m:t>
          </m:r>
          <m:r>
            <m:t>  </m:t>
          </m:r>
          <m:sSub>
            <m:e>
              <m:r>
                <m:t>δ</m:t>
              </m:r>
            </m:e>
            <m:sub>
              <m:r>
                <m:t>j</m:t>
              </m:r>
              <m:r>
                <m:t>k</m:t>
              </m:r>
            </m:sub>
          </m:sSub>
          <m:r>
            <m:rPr>
              <m:sty m:val="p"/>
            </m:rPr>
            <m:t>∼</m:t>
          </m:r>
          <m:r>
            <m:t>N</m:t>
          </m:r>
          <m:r>
            <m:rPr>
              <m:sty m:val="p"/>
            </m:rPr>
            <m:t>(</m:t>
          </m:r>
          <m:r>
            <m:t>0</m:t>
          </m:r>
          <m:r>
            <m:rPr>
              <m:sty m:val="p"/>
            </m:rPr>
            <m:t>,</m:t>
          </m:r>
          <m:r>
            <m:rPr>
              <m:sty m:val="p"/>
            </m:rPr>
            <m:t>(</m:t>
          </m:r>
          <m:r>
            <m:t>1</m:t>
          </m:r>
          <m:r>
            <m:rPr>
              <m:sty m:val="p"/>
            </m:rPr>
            <m:t>−</m:t>
          </m:r>
          <m:r>
            <m:t>ρ</m:t>
          </m:r>
          <m:r>
            <m:rPr>
              <m:sty m:val="p"/>
            </m:rPr>
            <m:t>)</m:t>
          </m:r>
          <m:sSup>
            <m:e>
              <m:r>
                <m:t>τ</m:t>
              </m:r>
            </m:e>
            <m:sup>
              <m:r>
                <m:t>2</m:t>
              </m:r>
            </m:sup>
          </m:sSup>
          <m:r>
            <m:rPr>
              <m:sty m:val="p"/>
            </m:rPr>
            <m:t>)</m:t>
          </m:r>
          <m:r>
            <m:rPr>
              <m:sty m:val="p"/>
            </m:rPr>
            <m:t>,</m:t>
          </m:r>
          <m:r>
            <m:t>  </m:t>
          </m:r>
          <m:r>
            <m:t>τ</m:t>
          </m:r>
          <m:r>
            <m:rPr>
              <m:sty m:val="p"/>
            </m:rPr>
            <m:t>=</m:t>
          </m:r>
          <m:r>
            <m:t>0.15</m:t>
          </m:r>
          <m:r>
            <m:rPr>
              <m:sty m:val="p"/>
            </m:rPr>
            <m:t>.</m:t>
          </m:r>
        </m:oMath>
      </m:oMathPara>
    </w:p>
    <w:p>
      <w:pPr>
        <w:pStyle w:val="FirstParagraph"/>
      </w:pPr>
      <w:r>
        <w:t xml:space="preserve">Strong borrowing used</w:t>
      </w:r>
      <w:r>
        <w:t xml:space="preserve"> </w:t>
      </w:r>
      <m:oMath>
        <m:r>
          <m:t>ρ</m:t>
        </m:r>
        <m:r>
          <m:rPr>
            <m:sty m:val="p"/>
          </m:rPr>
          <m:t>=</m:t>
        </m:r>
        <m:r>
          <m:t>0.8</m:t>
        </m:r>
      </m:oMath>
      <w:r>
        <w:t xml:space="preserve">; the sensitivity specification used</w:t>
      </w:r>
      <w:r>
        <w:t xml:space="preserve"> </w:t>
      </w:r>
      <m:oMath>
        <m:r>
          <m:t>ρ</m:t>
        </m:r>
        <m:r>
          <m:rPr>
            <m:sty m:val="p"/>
          </m:rPr>
          <m:t>=</m:t>
        </m:r>
        <m:r>
          <m:t>0</m:t>
        </m:r>
      </m:oMath>
      <w:r>
        <w:t xml:space="preserve">. The latter removes effect correlation but retains shared inclusion, so it is not a fully separate-cohort analysis. Inclusion identifies the union of signals and cannot assign separate probabilities of a zero effect within each cohort.</w:t>
      </w:r>
    </w:p>
    <w:p>
      <w:pPr>
        <w:pStyle w:val="BodyText"/>
      </w:pPr>
      <w:r>
        <w:t xml:space="preserve">All</w:t>
      </w:r>
      <w:r>
        <w:t xml:space="preserve"> </w:t>
      </w:r>
      <m:oMath>
        <m:sSup>
          <m:e>
            <m:r>
              <m:t>2</m:t>
            </m:r>
          </m:e>
          <m:sup>
            <m:r>
              <m:t>8</m:t>
            </m:r>
          </m:sup>
        </m:sSup>
        <m:r>
          <m:rPr>
            <m:sty m:val="p"/>
          </m:rPr>
          <m:t>=</m:t>
        </m:r>
        <m:r>
          <m:t>256</m:t>
        </m:r>
      </m:oMath>
      <w:r>
        <w:t xml:space="preserve"> </w:t>
      </w:r>
      <w:r>
        <w:t xml:space="preserve">configurations were enumerated. For active set</w:t>
      </w:r>
      <w:r>
        <w:t xml:space="preserve"> </w:t>
      </w:r>
      <m:oMath>
        <m:r>
          <m:t>S</m:t>
        </m:r>
      </m:oMath>
      <w:r>
        <w:t xml:space="preserve">, effects ordered by cohort had covariance</w:t>
      </w:r>
    </w:p>
    <w:p>
      <w:pPr>
        <w:pStyle w:val="BodyText"/>
      </w:pPr>
      <m:oMathPara>
        <m:oMathParaPr>
          <m:jc m:val="center"/>
        </m:oMathParaPr>
        <m:oMath>
          <m:sSub>
            <m:e>
              <m:r>
                <m:t>V</m:t>
              </m:r>
            </m:e>
            <m:sub>
              <m:r>
                <m:t>S</m:t>
              </m:r>
            </m:sub>
          </m:sSub>
          <m:r>
            <m:rPr>
              <m:sty m:val="p"/>
            </m:rPr>
            <m:t>=</m:t>
          </m:r>
          <m:sSup>
            <m:e>
              <m:r>
                <m:t>τ</m:t>
              </m:r>
            </m:e>
            <m:sup>
              <m:r>
                <m:t>2</m:t>
              </m:r>
            </m:sup>
          </m:sSup>
          <m:d>
            <m:dPr>
              <m:begChr m:val="("/>
              <m:sepChr m:val=""/>
              <m:endChr m:val=")"/>
              <m:grow/>
            </m:dPr>
            <m:e>
              <m:m>
                <m:mPr>
                  <m:baseJc m:val="center"/>
                  <m:plcHide m:val="on"/>
                  <m:mcs>
                    <m:mc>
                      <m:mcPr>
                        <m:mcJc m:val="center"/>
                        <m:count m:val="1"/>
                      </m:mcPr>
                    </m:mc>
                    <m:mc>
                      <m:mcPr>
                        <m:mcJc m:val="center"/>
                        <m:count m:val="1"/>
                      </m:mcPr>
                    </m:mc>
                  </m:mcs>
                </m:mPr>
                <m:mr>
                  <m:e>
                    <m:r>
                      <m:t>I</m:t>
                    </m:r>
                  </m:e>
                  <m:e>
                    <m:r>
                      <m:t>ρ</m:t>
                    </m:r>
                    <m:r>
                      <m:t>I</m:t>
                    </m:r>
                  </m:e>
                </m:mr>
                <m:mr>
                  <m:e>
                    <m:r>
                      <m:t>ρ</m:t>
                    </m:r>
                    <m:r>
                      <m:t>I</m:t>
                    </m:r>
                  </m:e>
                  <m:e>
                    <m:r>
                      <m:t>I</m:t>
                    </m:r>
                  </m:e>
                </m:mr>
              </m:m>
            </m:e>
          </m:d>
          <m:r>
            <m:rPr>
              <m:sty m:val="p"/>
            </m:rPr>
            <m:t>.</m:t>
          </m:r>
        </m:oMath>
      </m:oMathPara>
    </w:p>
    <w:p>
      <w:pPr>
        <w:pStyle w:val="FirstParagraph"/>
      </w:pPr>
      <w:r>
        <w:t xml:space="preserve">Define</w:t>
      </w:r>
      <w:r>
        <w:t xml:space="preserve"> </w:t>
      </w:r>
      <m:oMath>
        <m:sSub>
          <m:e>
            <m:r>
              <m:t>A</m:t>
            </m:r>
          </m:e>
          <m:sub>
            <m:r>
              <m:t>S</m:t>
            </m:r>
          </m:sub>
        </m:sSub>
        <m:r>
          <m:rPr>
            <m:sty m:val="p"/>
          </m:rPr>
          <m:t>=</m:t>
        </m:r>
        <m:r>
          <m:rPr>
            <m:sty m:val="p"/>
          </m:rPr>
          <m:t>blockdiag</m:t>
        </m:r>
        <m:r>
          <m:rPr>
            <m:sty m:val="p"/>
          </m:rPr>
          <m:t>(</m:t>
        </m:r>
        <m:sSub>
          <m:e>
            <m:r>
              <m:t>Q</m:t>
            </m:r>
          </m:e>
          <m:sub>
            <m:r>
              <m:t>1</m:t>
            </m:r>
            <m:r>
              <m:rPr>
                <m:sty m:val="p"/>
              </m:rPr>
              <m:t>,</m:t>
            </m:r>
            <m:r>
              <m:t>S</m:t>
            </m:r>
            <m:r>
              <m:t>S</m:t>
            </m:r>
          </m:sub>
        </m:sSub>
        <m:r>
          <m:rPr>
            <m:sty m:val="p"/>
          </m:rPr>
          <m:t>/</m:t>
        </m:r>
        <m:sSubSup>
          <m:e>
            <m:acc>
              <m:accPr>
                <m:chr m:val="̂"/>
              </m:accPr>
              <m:e>
                <m:r>
                  <m:t>σ</m:t>
                </m:r>
              </m:e>
            </m:acc>
          </m:e>
          <m:sub>
            <m:r>
              <m:t>1</m:t>
            </m:r>
          </m:sub>
          <m:sup>
            <m:r>
              <m:t>2</m:t>
            </m:r>
          </m:sup>
        </m:sSubSup>
        <m:r>
          <m:rPr>
            <m:sty m:val="p"/>
          </m:rPr>
          <m:t>,</m:t>
        </m:r>
        <m:sSub>
          <m:e>
            <m:r>
              <m:t>Q</m:t>
            </m:r>
          </m:e>
          <m:sub>
            <m:r>
              <m:t>2</m:t>
            </m:r>
            <m:r>
              <m:rPr>
                <m:sty m:val="p"/>
              </m:rPr>
              <m:t>,</m:t>
            </m:r>
            <m:r>
              <m:t>S</m:t>
            </m:r>
            <m:r>
              <m:t>S</m:t>
            </m:r>
          </m:sub>
        </m:sSub>
        <m:r>
          <m:rPr>
            <m:sty m:val="p"/>
          </m:rPr>
          <m:t>/</m:t>
        </m:r>
        <m:sSubSup>
          <m:e>
            <m:acc>
              <m:accPr>
                <m:chr m:val="̂"/>
              </m:accPr>
              <m:e>
                <m:r>
                  <m:t>σ</m:t>
                </m:r>
              </m:e>
            </m:acc>
          </m:e>
          <m:sub>
            <m:r>
              <m:t>2</m:t>
            </m:r>
          </m:sub>
          <m:sup>
            <m:r>
              <m:t>2</m:t>
            </m:r>
          </m:sup>
        </m:sSubSup>
        <m:r>
          <m:rPr>
            <m:sty m:val="p"/>
          </m:rPr>
          <m:t>)</m:t>
        </m:r>
      </m:oMath>
      <w:r>
        <w:t xml:space="preserve"> </w:t>
      </w:r>
      <w:r>
        <w:t xml:space="preserve">and let</w:t>
      </w:r>
      <w:r>
        <w:t xml:space="preserve"> </w:t>
      </w:r>
      <m:oMath>
        <m:sSub>
          <m:e>
            <m:r>
              <m:t>u</m:t>
            </m:r>
          </m:e>
          <m:sub>
            <m:r>
              <m:t>S</m:t>
            </m:r>
          </m:sub>
        </m:sSub>
      </m:oMath>
      <w:r>
        <w:t xml:space="preserve"> </w:t>
      </w:r>
      <w:r>
        <w:t xml:space="preserve">stack</w:t>
      </w:r>
      <w:r>
        <w:t xml:space="preserve"> </w:t>
      </w:r>
      <m:oMath>
        <m:sSub>
          <m:e>
            <m:r>
              <m:t>q</m:t>
            </m:r>
          </m:e>
          <m:sub>
            <m:r>
              <m:t>k</m:t>
            </m:r>
            <m:r>
              <m:rPr>
                <m:sty m:val="p"/>
              </m:rPr>
              <m:t>,</m:t>
            </m:r>
            <m:r>
              <m:t>S</m:t>
            </m:r>
          </m:sub>
        </m:sSub>
        <m:r>
          <m:rPr>
            <m:sty m:val="p"/>
          </m:rPr>
          <m:t>/</m:t>
        </m:r>
        <m:sSubSup>
          <m:e>
            <m:acc>
              <m:accPr>
                <m:chr m:val="̂"/>
              </m:accPr>
              <m:e>
                <m:r>
                  <m:t>σ</m:t>
                </m:r>
              </m:e>
            </m:acc>
          </m:e>
          <m:sub>
            <m:r>
              <m:t>k</m:t>
            </m:r>
          </m:sub>
          <m:sup>
            <m:r>
              <m:t>2</m:t>
            </m:r>
          </m:sup>
        </m:sSubSup>
      </m:oMath>
      <w:r>
        <w:t xml:space="preserve"> </w:t>
      </w:r>
      <w:r>
        <w:t xml:space="preserve">over cohorts. Conditional posterior covariance and mean were</w:t>
      </w:r>
    </w:p>
    <w:p>
      <w:pPr>
        <w:pStyle w:val="BodyText"/>
      </w:pPr>
      <m:oMathPara>
        <m:oMathParaPr>
          <m:jc m:val="center"/>
        </m:oMathParaPr>
        <m:oMath>
          <m:sSub>
            <m:e>
              <m:r>
                <m:t>C</m:t>
              </m:r>
            </m:e>
            <m:sub>
              <m:r>
                <m:t>S</m:t>
              </m:r>
            </m:sub>
          </m:sSub>
          <m:r>
            <m:rPr>
              <m:sty m:val="p"/>
            </m:rPr>
            <m:t>=</m:t>
          </m:r>
          <m:r>
            <m:rPr>
              <m:sty m:val="p"/>
            </m:rPr>
            <m:t>(</m:t>
          </m:r>
          <m:sSubSup>
            <m:e>
              <m:r>
                <m:t>V</m:t>
              </m:r>
            </m:e>
            <m:sub>
              <m:r>
                <m:t>S</m:t>
              </m:r>
            </m:sub>
            <m:sup>
              <m:r>
                <m:rPr>
                  <m:sty m:val="p"/>
                </m:rPr>
                <m:t>−</m:t>
              </m:r>
              <m:r>
                <m:t>1</m:t>
              </m:r>
            </m:sup>
          </m:sSubSup>
          <m:r>
            <m:rPr>
              <m:sty m:val="p"/>
            </m:rPr>
            <m:t>+</m:t>
          </m:r>
          <m:sSub>
            <m:e>
              <m:r>
                <m:t>A</m:t>
              </m:r>
            </m:e>
            <m:sub>
              <m:r>
                <m:t>S</m:t>
              </m:r>
            </m:sub>
          </m:sSub>
          <m:sSup>
            <m:e>
              <m:r>
                <m:rPr>
                  <m:sty m:val="p"/>
                </m:rPr>
                <m:t>)</m:t>
              </m:r>
            </m:e>
            <m:sup>
              <m:r>
                <m:rPr>
                  <m:sty m:val="p"/>
                </m:rPr>
                <m:t>−</m:t>
              </m:r>
              <m:r>
                <m:t>1</m:t>
              </m:r>
            </m:sup>
          </m:sSup>
          <m:r>
            <m:rPr>
              <m:sty m:val="p"/>
            </m:rPr>
            <m:t>,</m:t>
          </m:r>
          <m:r>
            <m:t>  </m:t>
          </m:r>
          <m:sSub>
            <m:e>
              <m:r>
                <m:t>m</m:t>
              </m:r>
            </m:e>
            <m:sub>
              <m:r>
                <m:t>S</m:t>
              </m:r>
            </m:sub>
          </m:sSub>
          <m:r>
            <m:rPr>
              <m:sty m:val="p"/>
            </m:rPr>
            <m:t>=</m:t>
          </m:r>
          <m:sSub>
            <m:e>
              <m:r>
                <m:t>C</m:t>
              </m:r>
            </m:e>
            <m:sub>
              <m:r>
                <m:t>S</m:t>
              </m:r>
            </m:sub>
          </m:sSub>
          <m:sSub>
            <m:e>
              <m:r>
                <m:t>u</m:t>
              </m:r>
            </m:e>
            <m:sub>
              <m:r>
                <m:t>S</m:t>
              </m:r>
            </m:sub>
          </m:sSub>
          <m:r>
            <m:rPr>
              <m:sty m:val="p"/>
            </m:rPr>
            <m:t>.</m:t>
          </m:r>
        </m:oMath>
      </m:oMathPara>
    </w:p>
    <w:p>
      <w:pPr>
        <w:pStyle w:val="FirstParagraph"/>
      </w:pPr>
      <w:r>
        <w:t xml:space="preserve">Gaussian integration yielded configuration weights relative to the null:</w:t>
      </w:r>
    </w:p>
    <w:p>
      <w:pPr>
        <w:pStyle w:val="BodyText"/>
      </w:pPr>
      <m:oMathPara>
        <m:oMathParaPr>
          <m:jc m:val="center"/>
        </m:oMathParaPr>
        <m:oMath>
          <m:sSub>
            <m:e>
              <m:r>
                <m:t>w</m:t>
              </m:r>
            </m:e>
            <m:sub>
              <m:r>
                <m:t>S</m:t>
              </m:r>
            </m:sub>
          </m:sSub>
          <m:r>
            <m:rPr>
              <m:sty m:val="p"/>
            </m:rPr>
            <m:t>∝</m:t>
          </m:r>
          <m:sSup>
            <m:e>
              <m:r>
                <m:t>0.2</m:t>
              </m:r>
            </m:e>
            <m:sup>
              <m:r>
                <m:rPr>
                  <m:sty m:val="p"/>
                </m:rPr>
                <m:t>|</m:t>
              </m:r>
              <m:r>
                <m:t>S</m:t>
              </m:r>
              <m:r>
                <m:rPr>
                  <m:sty m:val="p"/>
                </m:rPr>
                <m:t>|</m:t>
              </m:r>
            </m:sup>
          </m:sSup>
          <m:sSup>
            <m:e>
              <m:r>
                <m:t>0.8</m:t>
              </m:r>
            </m:e>
            <m:sup>
              <m:r>
                <m:t>8</m:t>
              </m:r>
              <m:r>
                <m:rPr>
                  <m:sty m:val="p"/>
                </m:rPr>
                <m:t>−</m:t>
              </m:r>
              <m:r>
                <m:rPr>
                  <m:sty m:val="p"/>
                </m:rPr>
                <m:t>|</m:t>
              </m:r>
              <m:r>
                <m:t>S</m:t>
              </m:r>
              <m:r>
                <m:rPr>
                  <m:sty m:val="p"/>
                </m:rPr>
                <m:t>|</m:t>
              </m:r>
            </m:sup>
          </m:sSup>
          <m:r>
            <m:rPr>
              <m:sty m:val="p"/>
            </m:rPr>
            <m:t>|</m:t>
          </m:r>
          <m:sSub>
            <m:e>
              <m:r>
                <m:t>V</m:t>
              </m:r>
            </m:e>
            <m:sub>
              <m:r>
                <m:t>S</m:t>
              </m:r>
            </m:sub>
          </m:sSub>
          <m:sSup>
            <m:e>
              <m:r>
                <m:rPr>
                  <m:sty m:val="p"/>
                </m:rPr>
                <m:t>|</m:t>
              </m:r>
            </m:e>
            <m:sup>
              <m:r>
                <m:rPr>
                  <m:sty m:val="p"/>
                </m:rPr>
                <m:t>−</m:t>
              </m:r>
              <m:r>
                <m:t>1</m:t>
              </m:r>
              <m:r>
                <m:rPr>
                  <m:sty m:val="p"/>
                </m:rPr>
                <m:t>/</m:t>
              </m:r>
              <m:r>
                <m:t>2</m:t>
              </m:r>
            </m:sup>
          </m:sSup>
          <m:r>
            <m:rPr>
              <m:sty m:val="p"/>
            </m:rPr>
            <m:t>|</m:t>
          </m:r>
          <m:sSubSup>
            <m:e>
              <m:r>
                <m:t>V</m:t>
              </m:r>
            </m:e>
            <m:sub>
              <m:r>
                <m:t>S</m:t>
              </m:r>
            </m:sub>
            <m:sup>
              <m:r>
                <m:rPr>
                  <m:sty m:val="p"/>
                </m:rPr>
                <m:t>−</m:t>
              </m:r>
              <m:r>
                <m:t>1</m:t>
              </m:r>
            </m:sup>
          </m:sSubSup>
          <m:r>
            <m:rPr>
              <m:sty m:val="p"/>
            </m:rPr>
            <m:t>+</m:t>
          </m:r>
          <m:sSub>
            <m:e>
              <m:r>
                <m:t>A</m:t>
              </m:r>
            </m:e>
            <m:sub>
              <m:r>
                <m:t>S</m:t>
              </m:r>
            </m:sub>
          </m:sSub>
          <m:sSup>
            <m:e>
              <m:r>
                <m:rPr>
                  <m:sty m:val="p"/>
                </m:rPr>
                <m:t>|</m:t>
              </m:r>
            </m:e>
            <m:sup>
              <m:r>
                <m:rPr>
                  <m:sty m:val="p"/>
                </m:rPr>
                <m:t>−</m:t>
              </m:r>
              <m:r>
                <m:t>1</m:t>
              </m:r>
              <m:r>
                <m:rPr>
                  <m:sty m:val="p"/>
                </m:rPr>
                <m:t>/</m:t>
              </m:r>
              <m:r>
                <m:t>2</m:t>
              </m:r>
            </m:sup>
          </m:sSup>
          <m:r>
            <m:rPr>
              <m:sty m:val="p"/>
            </m:rPr>
            <m:t>exp</m:t>
          </m:r>
          <m:d>
            <m:dPr>
              <m:begChr m:val="("/>
              <m:sepChr m:val=""/>
              <m:endChr m:val=")"/>
              <m:grow/>
            </m:dPr>
            <m:e>
              <m:f>
                <m:fPr>
                  <m:type m:val="lin"/>
                </m:fPr>
                <m:num>
                  <m:r>
                    <m:t>1</m:t>
                  </m:r>
                </m:num>
                <m:den>
                  <m:r>
                    <m:t>2</m:t>
                  </m:r>
                </m:den>
              </m:f>
              <m:sSubSup>
                <m:e>
                  <m:r>
                    <m:t>u</m:t>
                  </m:r>
                </m:e>
                <m:sub>
                  <m:r>
                    <m:t>S</m:t>
                  </m:r>
                </m:sub>
                <m:sup>
                  <m:r>
                    <m:t>T</m:t>
                  </m:r>
                </m:sup>
              </m:sSubSup>
              <m:sSub>
                <m:e>
                  <m:r>
                    <m:t>C</m:t>
                  </m:r>
                </m:e>
                <m:sub>
                  <m:r>
                    <m:t>S</m:t>
                  </m:r>
                </m:sub>
              </m:sSub>
              <m:sSub>
                <m:e>
                  <m:r>
                    <m:t>u</m:t>
                  </m:r>
                </m:e>
                <m:sub>
                  <m:r>
                    <m:t>S</m:t>
                  </m:r>
                </m:sub>
              </m:sSub>
            </m:e>
          </m:d>
          <m:r>
            <m:rPr>
              <m:sty m:val="p"/>
            </m:rPr>
            <m:t>.</m:t>
          </m:r>
        </m:oMath>
      </m:oMathPara>
    </w:p>
    <w:p>
      <w:pPr>
        <w:pStyle w:val="FirstParagraph"/>
      </w:pPr>
      <w:r>
        <w:t xml:space="preserve">Normalised weights gave posterior inclusion probabilities (PIPs) and model-averaged effects. Posterior SDs include within- and between-configuration uncertainty; they are not credible-interval endpoints. No MCMC was required. Primary selection used PIP ≥ 0.95, with PIP ≥ 0.50 as sensitivity analysis. Effect estimates did not depend on the reporting threshold.</w:t>
      </w:r>
    </w:p>
    <w:bookmarkEnd w:id="15"/>
    <w:bookmarkStart w:id="17" w:name="manc-cojo-comparator"/>
    <w:p>
      <w:pPr>
        <w:pStyle w:val="Heading2"/>
        <w:keepNext/>
      </w:pPr>
      <w:r>
        <w:t xml:space="preserve">Manc-COJO comparator</w:t>
      </w:r>
    </w:p>
    <w:p>
      <w:pPr>
        <w:pStyle w:val="FirstParagraph"/>
      </w:pPr>
      <w:r>
        <w:t xml:space="preserve">The completed run used the official Windows Manc-COJO v1.1.0 executable, with URL and SHA256 in</w:t>
      </w:r>
      <w:r>
        <w:t xml:space="preserve"> </w:t>
      </w:r>
      <w:hyperlink r:id="rId16">
        <w:r>
          <w:rPr>
            <w:rStyle w:val="Hyperlink"/>
          </w:rPr>
          <w:t xml:space="preserve">tools/provenance.json</w:t>
        </w:r>
      </w:hyperlink>
      <w:r>
        <w:t xml:space="preserve">. PLINK BED references and</w:t>
      </w:r>
      <w:r>
        <w:t xml:space="preserve"> </w:t>
      </w:r>
      <w:r>
        <w:rPr>
          <w:rStyle w:val="VerbatimChar"/>
        </w:rPr>
        <w:t xml:space="preserve">.ma</w:t>
      </w:r>
      <w:r>
        <w:t xml:space="preserve"> </w:t>
      </w:r>
      <w:r>
        <w:t xml:space="preserve">files were supplied in EUR, AFR order. BIM A1 and summary effect alleles were A. Commands used</w:t>
      </w:r>
      <w:r>
        <w:t xml:space="preserve"> </w:t>
      </w:r>
      <w:r>
        <w:rPr>
          <w:rStyle w:val="VerbatimChar"/>
        </w:rPr>
        <w:t xml:space="preserve">--cojo-slct --cojo-p 5e-8 --thread-num 1</w:t>
      </w:r>
      <w:r>
        <w:t xml:space="preserve">, retaining other defaults.</w:t>
      </w:r>
    </w:p>
    <w:p>
      <w:pPr>
        <w:pStyle w:val="BodyText"/>
      </w:pPr>
      <w:r>
        <w:t xml:space="preserve">Manc-COJO’s stepwise meta-analysis criterion and the Bayesian shared-inclusion criterion differ. P-value and PIP thresholds were not calibrated to equal frequentist error rates. Recall differences at these settings cannot establish superior power at a common false-positive rate.</w:t>
      </w:r>
    </w:p>
    <w:bookmarkEnd w:id="17"/>
    <w:bookmarkStart w:id="18" w:name="outcomes-and-monte-carlo-uncertainty"/>
    <w:p>
      <w:pPr>
        <w:pStyle w:val="Heading2"/>
        <w:keepNext/>
      </w:pPr>
      <w:r>
        <w:t xml:space="preserve">Outcomes and Monte Carlo uncertainty</w:t>
      </w:r>
    </w:p>
    <w:p>
      <w:pPr>
        <w:pStyle w:val="FirstParagraph"/>
      </w:pPr>
      <w:r>
        <w:t xml:space="preserve">Exact recall was the fraction of planted causal variants selected. False discovery proportion was</w:t>
      </w:r>
      <w:r>
        <w:t xml:space="preserve"> </w:t>
      </w:r>
      <m:oMath>
        <m:r>
          <m:rPr>
            <m:sty m:val="p"/>
          </m:rPr>
          <m:t>F</m:t>
        </m:r>
        <m:r>
          <m:rPr>
            <m:sty m:val="p"/>
          </m:rPr>
          <m:t>P</m:t>
        </m:r>
        <m:r>
          <m:rPr>
            <m:sty m:val="p"/>
          </m:rPr>
          <m:t>/</m:t>
        </m:r>
        <m:r>
          <m:rPr>
            <m:sty m:val="p"/>
          </m:rPr>
          <m:t>max</m:t>
        </m:r>
        <m:r>
          <m:rPr>
            <m:sty m:val="p"/>
          </m:rPr>
          <m:t>(</m:t>
        </m:r>
        <m:r>
          <m:t>1</m:t>
        </m:r>
        <m:r>
          <m:rPr>
            <m:sty m:val="p"/>
          </m:rPr>
          <m:t>,</m:t>
        </m:r>
        <m:r>
          <m:rPr>
            <m:sty m:val="p"/>
          </m:rPr>
          <m:t>T</m:t>
        </m:r>
        <m:r>
          <m:rPr>
            <m:sty m:val="p"/>
          </m:rPr>
          <m:t>P</m:t>
        </m:r>
        <m:r>
          <m:rPr>
            <m:sty m:val="p"/>
          </m:rPr>
          <m:t>+</m:t>
        </m:r>
        <m:r>
          <m:rPr>
            <m:sty m:val="p"/>
          </m:rPr>
          <m:t>F</m:t>
        </m:r>
        <m:r>
          <m:rPr>
            <m:sty m:val="p"/>
          </m:rPr>
          <m:t>P</m:t>
        </m:r>
        <m:r>
          <m:rPr>
            <m:sty m:val="p"/>
          </m:rPr>
          <m:t>)</m:t>
        </m:r>
      </m:oMath>
      <w:r>
        <w:t xml:space="preserve">, with zero assigned when nothing was selected. We also recorded any false selection, AFR-specific variant recovery and causal-block recall. The latter counted any selected variant in a causal four-variant block; it is a permissive proxy measure, not formal LD-based signal matching or credible-set coverage.</w:t>
      </w:r>
    </w:p>
    <w:p>
      <w:pPr>
        <w:pStyle w:val="BodyText"/>
      </w:pPr>
      <w:r>
        <w:t xml:space="preserve">For replicate</w:t>
      </w:r>
      <w:r>
        <w:t xml:space="preserve"> </w:t>
      </w:r>
      <m:oMath>
        <m:r>
          <m:t>r</m:t>
        </m:r>
      </m:oMath>
      <w:r>
        <w:t xml:space="preserve">, AFR effect error was averaged over all eight variants. Displayed RMSE is the square root of mean replicate MSE:</w:t>
      </w:r>
    </w:p>
    <w:p>
      <w:pPr>
        <w:pStyle w:val="BodyText"/>
      </w:pPr>
      <m:oMathPara>
        <m:oMathParaPr>
          <m:jc m:val="center"/>
        </m:oMathParaPr>
        <m:oMath>
          <m:sSub>
            <m:e>
              <m:r>
                <m:rPr>
                  <m:sty m:val="p"/>
                </m:rPr>
                <m:t>M</m:t>
              </m:r>
              <m:r>
                <m:rPr>
                  <m:sty m:val="p"/>
                </m:rPr>
                <m:t>S</m:t>
              </m:r>
              <m:r>
                <m:rPr>
                  <m:sty m:val="p"/>
                </m:rPr>
                <m:t>E</m:t>
              </m:r>
            </m:e>
            <m:sub>
              <m:r>
                <m:t>r</m:t>
              </m:r>
            </m:sub>
          </m:sSub>
          <m:r>
            <m:rPr>
              <m:sty m:val="p"/>
            </m:rPr>
            <m:t>=</m:t>
          </m:r>
          <m:f>
            <m:fPr>
              <m:type m:val="bar"/>
            </m:fPr>
            <m:num>
              <m:r>
                <m:t>1</m:t>
              </m:r>
            </m:num>
            <m:den>
              <m:r>
                <m:t>8</m:t>
              </m:r>
            </m:den>
          </m:f>
          <m:nary>
            <m:naryPr>
              <m:chr m:val="∑"/>
              <m:limLoc m:val="undOvr"/>
              <m:subHide m:val="off"/>
              <m:supHide m:val="off"/>
            </m:naryPr>
            <m:sub>
              <m:r>
                <m:t>j</m:t>
              </m:r>
              <m:r>
                <m:rPr>
                  <m:sty m:val="p"/>
                </m:rPr>
                <m:t>=</m:t>
              </m:r>
              <m:r>
                <m:t>1</m:t>
              </m:r>
            </m:sub>
            <m:sup>
              <m:r>
                <m:t>8</m:t>
              </m:r>
            </m:sup>
            <m:e>
              <m:r>
                <m:rPr>
                  <m:sty m:val="p"/>
                </m:rPr>
                <m:t>(</m:t>
              </m:r>
            </m:e>
          </m:nary>
          <m:sSub>
            <m:e>
              <m:acc>
                <m:accPr>
                  <m:chr m:val="̂"/>
                </m:accPr>
                <m:e>
                  <m:r>
                    <m:t>β</m:t>
                  </m:r>
                </m:e>
              </m:acc>
            </m:e>
            <m:sub>
              <m:r>
                <m:t>j</m:t>
              </m:r>
              <m:r>
                <m:t>r</m:t>
              </m:r>
            </m:sub>
          </m:sSub>
          <m:r>
            <m:rPr>
              <m:sty m:val="p"/>
            </m:rPr>
            <m:t>−</m:t>
          </m:r>
          <m:sSub>
            <m:e>
              <m:r>
                <m:t>β</m:t>
              </m:r>
            </m:e>
            <m:sub>
              <m:r>
                <m:t>j</m:t>
              </m:r>
            </m:sub>
          </m:sSub>
          <m:sSup>
            <m:e>
              <m:r>
                <m:rPr>
                  <m:sty m:val="p"/>
                </m:rPr>
                <m:t>)</m:t>
              </m:r>
            </m:e>
            <m:sup>
              <m:r>
                <m:t>2</m:t>
              </m:r>
            </m:sup>
          </m:sSup>
          <m:r>
            <m:rPr>
              <m:sty m:val="p"/>
            </m:rPr>
            <m:t>,</m:t>
          </m:r>
          <m:r>
            <m:t>  </m:t>
          </m:r>
          <m:r>
            <m:rPr>
              <m:sty m:val="p"/>
            </m:rPr>
            <m:t>R</m:t>
          </m:r>
          <m:r>
            <m:rPr>
              <m:sty m:val="p"/>
            </m:rPr>
            <m:t>M</m:t>
          </m:r>
          <m:r>
            <m:rPr>
              <m:sty m:val="p"/>
            </m:rPr>
            <m:t>S</m:t>
          </m:r>
          <m:r>
            <m:rPr>
              <m:sty m:val="p"/>
            </m:rPr>
            <m:t>E</m:t>
          </m:r>
          <m:r>
            <m:rPr>
              <m:sty m:val="p"/>
            </m:rPr>
            <m:t>=</m:t>
          </m:r>
          <m:rad>
            <m:radPr>
              <m:degHide m:val="on"/>
            </m:radPr>
            <m:deg/>
            <m:e>
              <m:f>
                <m:fPr>
                  <m:type m:val="bar"/>
                </m:fPr>
                <m:num>
                  <m:r>
                    <m:t>1</m:t>
                  </m:r>
                </m:num>
                <m:den>
                  <m:r>
                    <m:t>20</m:t>
                  </m:r>
                </m:den>
              </m:f>
              <m:nary>
                <m:naryPr>
                  <m:chr m:val="∑"/>
                  <m:limLoc m:val="undOvr"/>
                  <m:subHide m:val="off"/>
                  <m:supHide m:val="off"/>
                </m:naryPr>
                <m:sub>
                  <m:r>
                    <m:t>r</m:t>
                  </m:r>
                  <m:r>
                    <m:rPr>
                      <m:sty m:val="p"/>
                    </m:rPr>
                    <m:t>=</m:t>
                  </m:r>
                  <m:r>
                    <m:t>1</m:t>
                  </m:r>
                </m:sub>
                <m:sup>
                  <m:r>
                    <m:t>20</m:t>
                  </m:r>
                </m:sup>
                <m:e>
                  <m:sSub>
                    <m:e>
                      <m:r>
                        <m:rPr>
                          <m:sty m:val="p"/>
                        </m:rPr>
                        <m:t>M</m:t>
                      </m:r>
                      <m:r>
                        <m:rPr>
                          <m:sty m:val="p"/>
                        </m:rPr>
                        <m:t>S</m:t>
                      </m:r>
                      <m:r>
                        <m:rPr>
                          <m:sty m:val="p"/>
                        </m:rPr>
                        <m:t>E</m:t>
                      </m:r>
                    </m:e>
                    <m:sub>
                      <m:r>
                        <m:t>r</m:t>
                      </m:r>
                    </m:sub>
                  </m:sSub>
                </m:e>
              </m:nary>
            </m:e>
          </m:rad>
          <m:r>
            <m:rPr>
              <m:sty m:val="p"/>
            </m:rPr>
            <m:t>.</m:t>
          </m:r>
        </m:oMath>
      </m:oMathPara>
    </w:p>
    <w:p>
      <w:pPr>
        <w:pStyle w:val="FirstParagraph"/>
      </w:pPr>
      <w:r>
        <w:t xml:space="preserve">Unselected Manc-COJO effects were assigned zero to define a whole-locus estimator. Bayesian MSE used all posterior means. EUR and causal-only AFR errors are also exported. Across replicates,</w:t>
      </w:r>
      <w:r>
        <w:t xml:space="preserve"> </w:t>
      </w:r>
      <m:oMath>
        <m:r>
          <m:rPr>
            <m:sty m:val="p"/>
          </m:rPr>
          <m:t>M</m:t>
        </m:r>
        <m:r>
          <m:rPr>
            <m:sty m:val="p"/>
          </m:rPr>
          <m:t>C</m:t>
        </m:r>
        <m:r>
          <m:rPr>
            <m:sty m:val="p"/>
          </m:rPr>
          <m:t>S</m:t>
        </m:r>
        <m:r>
          <m:rPr>
            <m:sty m:val="p"/>
          </m:rPr>
          <m:t>E</m:t>
        </m:r>
        <m:r>
          <m:rPr>
            <m:sty m:val="p"/>
          </m:rPr>
          <m:t>(</m:t>
        </m:r>
        <m:acc>
          <m:accPr>
            <m:chr m:val="‾"/>
          </m:accPr>
          <m:e>
            <m:r>
              <m:t>a</m:t>
            </m:r>
          </m:e>
        </m:acc>
        <m:r>
          <m:rPr>
            <m:sty m:val="p"/>
          </m:rPr>
          <m:t>)</m:t>
        </m:r>
        <m:r>
          <m:rPr>
            <m:sty m:val="p"/>
          </m:rPr>
          <m:t>=</m:t>
        </m:r>
        <m:sSub>
          <m:e>
            <m:r>
              <m:t>s</m:t>
            </m:r>
          </m:e>
          <m:sub>
            <m:r>
              <m:t>a</m:t>
            </m:r>
          </m:sub>
        </m:sSub>
        <m:r>
          <m:rPr>
            <m:sty m:val="p"/>
          </m:rPr>
          <m:t>/</m:t>
        </m:r>
        <m:rad>
          <m:radPr>
            <m:degHide m:val="on"/>
          </m:radPr>
          <m:deg/>
          <m:e>
            <m:r>
              <m:t>20</m:t>
            </m:r>
          </m:e>
        </m:rad>
      </m:oMath>
      <w:r>
        <w:t xml:space="preserve">; paired differences used identical datasets. Figures show approximately ±1.96 MCSE, with recall bounds clipped to [0,1] and RMSE intervals obtained by the delta method. These describe simulation precision, not uncertainty in real-world effects.</w:t>
      </w:r>
    </w:p>
    <w:bookmarkEnd w:id="18"/>
    <w:bookmarkEnd w:id="19"/>
    <w:bookmarkStart w:id="40" w:name="results"/>
    <w:p>
      <w:pPr>
        <w:pStyle w:val="Heading1"/>
        <w:keepNext/>
        <w:pageBreakBefore/>
      </w:pPr>
      <w:r>
        <w:t xml:space="preserve">Results</w:t>
      </w:r>
    </w:p>
    <w:bookmarkStart w:id="24" w:name="X61b61d4e7986a77f69c2cc5ef43a6e5e7e1dddf"/>
    <w:p>
      <w:pPr>
        <w:pStyle w:val="Heading2"/>
        <w:keepNext/>
      </w:pPr>
      <w:r>
        <w:t xml:space="preserve">Signal recovery increased with sample size</w:t>
      </w:r>
    </w:p>
    <w:p>
      <w:pPr>
        <w:pStyle w:val="FirstParagraph"/>
      </w:pPr>
      <w:r>
        <w:t xml:space="preserve">With shared effects and AFR sample size 250, exact recall was 0.450 for Manc-COJO, 0.600 for the uncorrelated-effect prior and 0.675 for strong borrowing. At sample size 2,000, recall reached 0.975, 1.000 and 1.000. Under heterogeneous effects, the corresponding largest-sample values were 0.425, 0.875 and 0.900. These contrasts combine different models, selection objectives and thresholds. Exact recovery also penalises selection of correlated proxies.</w:t>
      </w:r>
    </w:p>
    <w:p>
      <w:pPr>
        <w:pStyle w:val="BodyText"/>
        <w:keepNext/>
      </w:pPr>
      <w:r>
        <w:drawing>
          <wp:inline>
            <wp:extent cx="5394960" cy="2957237"/>
            <wp:effectExtent b="0" l="0" r="0" t="0"/>
            <wp:docPr descr="Exact causal-variant recovery by sample size and effect scenario" title="" id="21" name="Picture"/>
            <a:graphic>
              <a:graphicData uri="http://schemas.openxmlformats.org/drawingml/2006/picture">
                <pic:pic>
                  <pic:nvPicPr>
                    <pic:cNvPr descr="results/figures/01_signal_recovery.png" id="22" name="Picture"/>
                    <pic:cNvPicPr>
                      <a:picLocks noChangeArrowheads="1" noChangeAspect="1"/>
                    </pic:cNvPicPr>
                  </pic:nvPicPr>
                  <pic:blipFill>
                    <a:blip r:embed="rId20"/>
                    <a:stretch>
                      <a:fillRect/>
                    </a:stretch>
                  </pic:blipFill>
                  <pic:spPr bwMode="auto">
                    <a:xfrm>
                      <a:off x="0" y="0"/>
                      <a:ext cx="5394960" cy="2957237"/>
                    </a:xfrm>
                    <a:prstGeom prst="rect">
                      <a:avLst/>
                    </a:prstGeom>
                    <a:noFill/>
                    <a:ln w="9525">
                      <a:noFill/>
                      <a:headEnd/>
                      <a:tailEnd/>
                    </a:ln>
                  </pic:spPr>
                </pic:pic>
              </a:graphicData>
            </a:graphic>
          </wp:inline>
        </w:drawing>
      </w:r>
    </w:p>
    <w:p>
      <w:pPr>
        <w:pStyle w:val="BodyText"/>
        <w:spacing w:after="160"/>
      </w:pPr>
      <w:r>
        <w:rPr>
          <w:i/>
          <w:iCs/>
        </w:rPr>
        <w:t xml:space="preserve">Figure 1. Mean exact recall across 20 replicates per point, with Monte Carlo error bars. Bayesian selection uses PIP ≥ 0.95; Manc-COJO uses its 5 × 10⁻⁸ selection threshold.</w:t>
      </w:r>
    </w:p>
    <w:p>
      <w:pPr>
        <w:pStyle w:val="BodyText"/>
      </w:pPr>
      <w:r>
        <w:t xml:space="preserve">The endpoint settings illustrate the sample-size gradient and the distinction between recovery and estimation. AFR RMSE below includes all eight effects, including null variants.</w:t>
      </w:r>
    </w:p>
    <w:tbl>
      <w:tblPr>
        <w:tblStyle w:val="Table"/>
        <w:tblW w:type="auto" w:w="0"/>
        <w:tblLayout w:type="autofit"/>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0"/>
        <w:gridCol w:w="1320"/>
        <w:gridCol w:w="1320"/>
        <w:gridCol w:w="1320"/>
        <w:gridCol w:w="1320"/>
        <w:gridCol w:w="1320"/>
      </w:tblGrid>
      <w:tr>
        <w:trPr>
          <w:tblHeader w:val="on"/>
          <w:cantSplit/>
          <w:tblHeader/>
        </w:trPr>
        <w:tc>
          <w:tcPr>
            <w:vAlign w:val="center"/>
            <w:shd w:fill="E8EFF4"/>
          </w:tcPr>
          <w:p>
            <w:pPr>
              <w:pStyle w:val="Compact"/>
              <w:spacing w:before="60" w:after="60"/>
            </w:pPr>
            <w:r>
              <w:rPr>
                <w:b/>
                <w:sz w:val="18"/>
              </w:rPr>
              <w:t xml:space="preserve">Scenario</w:t>
            </w:r>
          </w:p>
        </w:tc>
        <w:tc>
          <w:tcPr>
            <w:vAlign w:val="center"/>
            <w:shd w:fill="E8EFF4"/>
          </w:tcPr>
          <w:p>
            <w:pPr>
              <w:pStyle w:val="Compact"/>
              <w:spacing w:before="60" w:after="60"/>
              <w:jc w:val="right"/>
            </w:pPr>
            <w:r>
              <w:rPr>
                <w:b/>
                <w:sz w:val="18"/>
              </w:rPr>
              <w:t xml:space="preserve">AFR N</w:t>
            </w:r>
          </w:p>
        </w:tc>
        <w:tc>
          <w:tcPr>
            <w:vAlign w:val="center"/>
            <w:shd w:fill="E8EFF4"/>
          </w:tcPr>
          <w:p>
            <w:pPr>
              <w:pStyle w:val="Compact"/>
              <w:spacing w:before="60" w:after="60"/>
            </w:pPr>
            <w:r>
              <w:rPr>
                <w:b/>
                <w:sz w:val="18"/>
              </w:rPr>
              <w:t xml:space="preserve">Method</w:t>
            </w:r>
          </w:p>
        </w:tc>
        <w:tc>
          <w:tcPr>
            <w:vAlign w:val="center"/>
            <w:shd w:fill="E8EFF4"/>
          </w:tcPr>
          <w:p>
            <w:pPr>
              <w:pStyle w:val="Compact"/>
              <w:spacing w:before="60" w:after="60"/>
              <w:jc w:val="right"/>
            </w:pPr>
            <w:r>
              <w:rPr>
                <w:b/>
                <w:sz w:val="18"/>
              </w:rPr>
              <w:t xml:space="preserve">Exact recall</w:t>
            </w:r>
          </w:p>
        </w:tc>
        <w:tc>
          <w:tcPr>
            <w:vAlign w:val="center"/>
            <w:shd w:fill="E8EFF4"/>
          </w:tcPr>
          <w:p>
            <w:pPr>
              <w:pStyle w:val="Compact"/>
              <w:spacing w:before="60" w:after="60"/>
              <w:jc w:val="right"/>
            </w:pPr>
            <w:r>
              <w:rPr>
                <w:b/>
                <w:sz w:val="18"/>
              </w:rPr>
              <w:t xml:space="preserve">AFR RMSE</w:t>
            </w:r>
          </w:p>
        </w:tc>
        <w:tc>
          <w:tcPr>
            <w:vAlign w:val="center"/>
            <w:shd w:fill="E8EFF4"/>
          </w:tcPr>
          <w:p>
            <w:pPr>
              <w:pStyle w:val="Compact"/>
              <w:spacing w:before="60" w:after="60"/>
              <w:jc w:val="right"/>
            </w:pPr>
            <w:r>
              <w:rPr>
                <w:b/>
                <w:sz w:val="18"/>
              </w:rPr>
              <w:t xml:space="preserve">Mean FDP</w:t>
            </w:r>
          </w:p>
        </w:tc>
      </w:tr>
      <w:tr>
        <w:trPr>
          <w:cantSplit/>
        </w:trPr>
        <w:tc>
          <w:tcPr>
            <w:vAlign w:val="center"/>
          </w:tcPr>
          <w:p>
            <w:pPr>
              <w:pStyle w:val="Compact"/>
              <w:spacing w:before="60" w:after="60"/>
            </w:pPr>
            <w:r>
              <w:rPr>
                <w:b w:val="0"/>
                <w:sz w:val="18"/>
              </w:rPr>
              <w:t xml:space="preserve">Shared</w:t>
            </w:r>
          </w:p>
        </w:tc>
        <w:tc>
          <w:tcPr>
            <w:vAlign w:val="center"/>
          </w:tcPr>
          <w:p>
            <w:pPr>
              <w:pStyle w:val="Compact"/>
              <w:spacing w:before="60" w:after="60"/>
              <w:jc w:val="right"/>
            </w:pPr>
            <w:r>
              <w:rPr>
                <w:b w:val="0"/>
                <w:sz w:val="18"/>
              </w:rPr>
              <w:t xml:space="preserve">250</w:t>
            </w:r>
          </w:p>
        </w:tc>
        <w:tc>
          <w:tcPr>
            <w:vAlign w:val="center"/>
          </w:tcPr>
          <w:p>
            <w:pPr>
              <w:pStyle w:val="Compact"/>
              <w:spacing w:before="60" w:after="60"/>
            </w:pPr>
            <w:r>
              <w:rPr>
                <w:b w:val="0"/>
                <w:sz w:val="18"/>
              </w:rPr>
              <w:t xml:space="preserve">Manc-COJO</w:t>
            </w:r>
          </w:p>
        </w:tc>
        <w:tc>
          <w:tcPr>
            <w:vAlign w:val="center"/>
          </w:tcPr>
          <w:p>
            <w:pPr>
              <w:pStyle w:val="Compact"/>
              <w:spacing w:before="60" w:after="60"/>
              <w:jc w:val="right"/>
            </w:pPr>
            <w:r>
              <w:rPr>
                <w:b w:val="0"/>
                <w:sz w:val="18"/>
              </w:rPr>
              <w:t xml:space="preserve">0.450</w:t>
            </w:r>
          </w:p>
        </w:tc>
        <w:tc>
          <w:tcPr>
            <w:vAlign w:val="center"/>
          </w:tcPr>
          <w:p>
            <w:pPr>
              <w:pStyle w:val="Compact"/>
              <w:spacing w:before="60" w:after="60"/>
              <w:jc w:val="right"/>
            </w:pPr>
            <w:r>
              <w:rPr>
                <w:b w:val="0"/>
                <w:sz w:val="18"/>
              </w:rPr>
              <w:t xml:space="preserve">0.077</w:t>
            </w:r>
          </w:p>
        </w:tc>
        <w:tc>
          <w:tcPr>
            <w:vAlign w:val="center"/>
          </w:tcPr>
          <w:p>
            <w:pPr>
              <w:pStyle w:val="Compact"/>
              <w:spacing w:before="60" w:after="60"/>
              <w:jc w:val="right"/>
            </w:pPr>
            <w:r>
              <w:rPr>
                <w:b w:val="0"/>
                <w:sz w:val="18"/>
              </w:rPr>
              <w:t xml:space="preserve">0.000</w:t>
            </w:r>
          </w:p>
        </w:tc>
      </w:tr>
      <w:tr>
        <w:trPr>
          <w:cantSplit/>
        </w:trPr>
        <w:tc>
          <w:tcPr>
            <w:vAlign w:val="center"/>
          </w:tcPr>
          <w:p>
            <w:pPr>
              <w:pStyle w:val="Compact"/>
              <w:spacing w:before="60" w:after="60"/>
            </w:pPr>
            <w:r>
              <w:rPr>
                <w:b w:val="0"/>
                <w:sz w:val="18"/>
              </w:rPr>
              <w:t xml:space="preserve">Shared</w:t>
            </w:r>
          </w:p>
        </w:tc>
        <w:tc>
          <w:tcPr>
            <w:vAlign w:val="center"/>
          </w:tcPr>
          <w:p>
            <w:pPr>
              <w:pStyle w:val="Compact"/>
              <w:spacing w:before="60" w:after="60"/>
              <w:jc w:val="right"/>
            </w:pPr>
            <w:r>
              <w:rPr>
                <w:b w:val="0"/>
                <w:sz w:val="18"/>
              </w:rPr>
              <w:t xml:space="preserve">250</w:t>
            </w:r>
          </w:p>
        </w:tc>
        <w:tc>
          <w:tcPr>
            <w:vAlign w:val="center"/>
          </w:tcPr>
          <w:p>
            <w:pPr>
              <w:pStyle w:val="Compact"/>
              <w:spacing w:before="60" w:after="60"/>
            </w:pPr>
            <w:r>
              <w:rPr>
                <w:b w:val="0"/>
                <w:sz w:val="18"/>
              </w:rPr>
              <w:t xml:space="preserve">Bayesian ρ = 0</w:t>
            </w:r>
          </w:p>
        </w:tc>
        <w:tc>
          <w:tcPr>
            <w:vAlign w:val="center"/>
          </w:tcPr>
          <w:p>
            <w:pPr>
              <w:pStyle w:val="Compact"/>
              <w:spacing w:before="60" w:after="60"/>
              <w:jc w:val="right"/>
            </w:pPr>
            <w:r>
              <w:rPr>
                <w:b w:val="0"/>
                <w:sz w:val="18"/>
              </w:rPr>
              <w:t xml:space="preserve">0.600</w:t>
            </w:r>
          </w:p>
        </w:tc>
        <w:tc>
          <w:tcPr>
            <w:vAlign w:val="center"/>
          </w:tcPr>
          <w:p>
            <w:pPr>
              <w:pStyle w:val="Compact"/>
              <w:spacing w:before="60" w:after="60"/>
              <w:jc w:val="right"/>
            </w:pPr>
            <w:r>
              <w:rPr>
                <w:b w:val="0"/>
                <w:sz w:val="18"/>
              </w:rPr>
              <w:t xml:space="preserve">0.050</w:t>
            </w:r>
          </w:p>
        </w:tc>
        <w:tc>
          <w:tcPr>
            <w:vAlign w:val="center"/>
          </w:tcPr>
          <w:p>
            <w:pPr>
              <w:pStyle w:val="Compact"/>
              <w:spacing w:before="60" w:after="60"/>
              <w:jc w:val="right"/>
            </w:pPr>
            <w:r>
              <w:rPr>
                <w:b w:val="0"/>
                <w:sz w:val="18"/>
              </w:rPr>
              <w:t xml:space="preserve">0.000</w:t>
            </w:r>
          </w:p>
        </w:tc>
      </w:tr>
      <w:tr>
        <w:trPr>
          <w:cantSplit/>
        </w:trPr>
        <w:tc>
          <w:tcPr>
            <w:vAlign w:val="center"/>
          </w:tcPr>
          <w:p>
            <w:pPr>
              <w:pStyle w:val="Compact"/>
              <w:spacing w:before="60" w:after="60"/>
            </w:pPr>
            <w:r>
              <w:rPr>
                <w:b w:val="0"/>
                <w:sz w:val="18"/>
              </w:rPr>
              <w:t xml:space="preserve">Shared</w:t>
            </w:r>
          </w:p>
        </w:tc>
        <w:tc>
          <w:tcPr>
            <w:vAlign w:val="center"/>
          </w:tcPr>
          <w:p>
            <w:pPr>
              <w:pStyle w:val="Compact"/>
              <w:spacing w:before="60" w:after="60"/>
              <w:jc w:val="right"/>
            </w:pPr>
            <w:r>
              <w:rPr>
                <w:b w:val="0"/>
                <w:sz w:val="18"/>
              </w:rPr>
              <w:t xml:space="preserve">250</w:t>
            </w:r>
          </w:p>
        </w:tc>
        <w:tc>
          <w:tcPr>
            <w:vAlign w:val="center"/>
          </w:tcPr>
          <w:p>
            <w:pPr>
              <w:pStyle w:val="Compact"/>
              <w:spacing w:before="60" w:after="60"/>
            </w:pPr>
            <w:r>
              <w:rPr>
                <w:b w:val="0"/>
                <w:sz w:val="18"/>
              </w:rPr>
              <w:t xml:space="preserve">Bayesian ρ = 0.8</w:t>
            </w:r>
          </w:p>
        </w:tc>
        <w:tc>
          <w:tcPr>
            <w:vAlign w:val="center"/>
          </w:tcPr>
          <w:p>
            <w:pPr>
              <w:pStyle w:val="Compact"/>
              <w:spacing w:before="60" w:after="60"/>
              <w:jc w:val="right"/>
            </w:pPr>
            <w:r>
              <w:rPr>
                <w:b w:val="0"/>
                <w:sz w:val="18"/>
              </w:rPr>
              <w:t xml:space="preserve">0.675</w:t>
            </w:r>
          </w:p>
        </w:tc>
        <w:tc>
          <w:tcPr>
            <w:vAlign w:val="center"/>
          </w:tcPr>
          <w:p>
            <w:pPr>
              <w:pStyle w:val="Compact"/>
              <w:spacing w:before="60" w:after="60"/>
              <w:jc w:val="right"/>
            </w:pPr>
            <w:r>
              <w:rPr>
                <w:b w:val="0"/>
                <w:sz w:val="18"/>
              </w:rPr>
              <w:t xml:space="preserve">0.039</w:t>
            </w:r>
          </w:p>
        </w:tc>
        <w:tc>
          <w:tcPr>
            <w:vAlign w:val="center"/>
          </w:tcPr>
          <w:p>
            <w:pPr>
              <w:pStyle w:val="Compact"/>
              <w:spacing w:before="60" w:after="60"/>
              <w:jc w:val="right"/>
            </w:pPr>
            <w:r>
              <w:rPr>
                <w:b w:val="0"/>
                <w:sz w:val="18"/>
              </w:rPr>
              <w:t xml:space="preserve">0.000</w:t>
            </w:r>
          </w:p>
        </w:tc>
      </w:tr>
      <w:tr>
        <w:trPr>
          <w:cantSplit/>
        </w:trPr>
        <w:tc>
          <w:tcPr>
            <w:vAlign w:val="center"/>
          </w:tcPr>
          <w:p>
            <w:pPr>
              <w:pStyle w:val="Compact"/>
              <w:spacing w:before="60" w:after="60"/>
            </w:pPr>
            <w:r>
              <w:rPr>
                <w:b w:val="0"/>
                <w:sz w:val="18"/>
              </w:rPr>
              <w:t xml:space="preserve">Shared</w:t>
            </w:r>
          </w:p>
        </w:tc>
        <w:tc>
          <w:tcPr>
            <w:vAlign w:val="center"/>
          </w:tcPr>
          <w:p>
            <w:pPr>
              <w:pStyle w:val="Compact"/>
              <w:spacing w:before="60" w:after="60"/>
              <w:jc w:val="right"/>
            </w:pPr>
            <w:r>
              <w:rPr>
                <w:b w:val="0"/>
                <w:sz w:val="18"/>
              </w:rPr>
              <w:t xml:space="preserve">2,000</w:t>
            </w:r>
          </w:p>
        </w:tc>
        <w:tc>
          <w:tcPr>
            <w:vAlign w:val="center"/>
          </w:tcPr>
          <w:p>
            <w:pPr>
              <w:pStyle w:val="Compact"/>
              <w:spacing w:before="60" w:after="60"/>
            </w:pPr>
            <w:r>
              <w:rPr>
                <w:b w:val="0"/>
                <w:sz w:val="18"/>
              </w:rPr>
              <w:t xml:space="preserve">Manc-COJO</w:t>
            </w:r>
          </w:p>
        </w:tc>
        <w:tc>
          <w:tcPr>
            <w:vAlign w:val="center"/>
          </w:tcPr>
          <w:p>
            <w:pPr>
              <w:pStyle w:val="Compact"/>
              <w:spacing w:before="60" w:after="60"/>
              <w:jc w:val="right"/>
            </w:pPr>
            <w:r>
              <w:rPr>
                <w:b w:val="0"/>
                <w:sz w:val="18"/>
              </w:rPr>
              <w:t xml:space="preserve">0.975</w:t>
            </w:r>
          </w:p>
        </w:tc>
        <w:tc>
          <w:tcPr>
            <w:vAlign w:val="center"/>
          </w:tcPr>
          <w:p>
            <w:pPr>
              <w:pStyle w:val="Compact"/>
              <w:spacing w:before="60" w:after="60"/>
              <w:jc w:val="right"/>
            </w:pPr>
            <w:r>
              <w:rPr>
                <w:b w:val="0"/>
                <w:sz w:val="18"/>
              </w:rPr>
              <w:t xml:space="preserve">0.021</w:t>
            </w:r>
          </w:p>
        </w:tc>
        <w:tc>
          <w:tcPr>
            <w:vAlign w:val="center"/>
          </w:tcPr>
          <w:p>
            <w:pPr>
              <w:pStyle w:val="Compact"/>
              <w:spacing w:before="60" w:after="60"/>
              <w:jc w:val="right"/>
            </w:pPr>
            <w:r>
              <w:rPr>
                <w:b w:val="0"/>
                <w:sz w:val="18"/>
              </w:rPr>
              <w:t xml:space="preserve">0.000</w:t>
            </w:r>
          </w:p>
        </w:tc>
      </w:tr>
      <w:tr>
        <w:trPr>
          <w:cantSplit/>
        </w:trPr>
        <w:tc>
          <w:tcPr>
            <w:vAlign w:val="center"/>
          </w:tcPr>
          <w:p>
            <w:pPr>
              <w:pStyle w:val="Compact"/>
              <w:spacing w:before="60" w:after="60"/>
            </w:pPr>
            <w:r>
              <w:rPr>
                <w:b w:val="0"/>
                <w:sz w:val="18"/>
              </w:rPr>
              <w:t xml:space="preserve">Shared</w:t>
            </w:r>
          </w:p>
        </w:tc>
        <w:tc>
          <w:tcPr>
            <w:vAlign w:val="center"/>
          </w:tcPr>
          <w:p>
            <w:pPr>
              <w:pStyle w:val="Compact"/>
              <w:spacing w:before="60" w:after="60"/>
              <w:jc w:val="right"/>
            </w:pPr>
            <w:r>
              <w:rPr>
                <w:b w:val="0"/>
                <w:sz w:val="18"/>
              </w:rPr>
              <w:t xml:space="preserve">2,000</w:t>
            </w:r>
          </w:p>
        </w:tc>
        <w:tc>
          <w:tcPr>
            <w:vAlign w:val="center"/>
          </w:tcPr>
          <w:p>
            <w:pPr>
              <w:pStyle w:val="Compact"/>
              <w:spacing w:before="60" w:after="60"/>
            </w:pPr>
            <w:r>
              <w:rPr>
                <w:b w:val="0"/>
                <w:sz w:val="18"/>
              </w:rPr>
              <w:t xml:space="preserve">Bayesian ρ = 0</w:t>
            </w:r>
          </w:p>
        </w:tc>
        <w:tc>
          <w:tcPr>
            <w:vAlign w:val="center"/>
          </w:tcPr>
          <w:p>
            <w:pPr>
              <w:pStyle w:val="Compact"/>
              <w:spacing w:before="60" w:after="60"/>
              <w:jc w:val="right"/>
            </w:pPr>
            <w:r>
              <w:rPr>
                <w:b w:val="0"/>
                <w:sz w:val="18"/>
              </w:rPr>
              <w:t xml:space="preserve">1.000</w:t>
            </w:r>
          </w:p>
        </w:tc>
        <w:tc>
          <w:tcPr>
            <w:vAlign w:val="center"/>
          </w:tcPr>
          <w:p>
            <w:pPr>
              <w:pStyle w:val="Compact"/>
              <w:spacing w:before="60" w:after="60"/>
              <w:jc w:val="right"/>
            </w:pPr>
            <w:r>
              <w:rPr>
                <w:b w:val="0"/>
                <w:sz w:val="18"/>
              </w:rPr>
              <w:t xml:space="preserve">0.017</w:t>
            </w:r>
          </w:p>
        </w:tc>
        <w:tc>
          <w:tcPr>
            <w:vAlign w:val="center"/>
          </w:tcPr>
          <w:p>
            <w:pPr>
              <w:pStyle w:val="Compact"/>
              <w:spacing w:before="60" w:after="60"/>
              <w:jc w:val="right"/>
            </w:pPr>
            <w:r>
              <w:rPr>
                <w:b w:val="0"/>
                <w:sz w:val="18"/>
              </w:rPr>
              <w:t xml:space="preserve">0.000</w:t>
            </w:r>
          </w:p>
        </w:tc>
      </w:tr>
      <w:tr>
        <w:trPr>
          <w:cantSplit/>
        </w:trPr>
        <w:tc>
          <w:tcPr>
            <w:vAlign w:val="center"/>
          </w:tcPr>
          <w:p>
            <w:pPr>
              <w:pStyle w:val="Compact"/>
              <w:spacing w:before="60" w:after="60"/>
            </w:pPr>
            <w:r>
              <w:rPr>
                <w:b w:val="0"/>
                <w:sz w:val="18"/>
              </w:rPr>
              <w:t xml:space="preserve">Shared</w:t>
            </w:r>
          </w:p>
        </w:tc>
        <w:tc>
          <w:tcPr>
            <w:vAlign w:val="center"/>
          </w:tcPr>
          <w:p>
            <w:pPr>
              <w:pStyle w:val="Compact"/>
              <w:spacing w:before="60" w:after="60"/>
              <w:jc w:val="right"/>
            </w:pPr>
            <w:r>
              <w:rPr>
                <w:b w:val="0"/>
                <w:sz w:val="18"/>
              </w:rPr>
              <w:t xml:space="preserve">2,000</w:t>
            </w:r>
          </w:p>
        </w:tc>
        <w:tc>
          <w:tcPr>
            <w:vAlign w:val="center"/>
          </w:tcPr>
          <w:p>
            <w:pPr>
              <w:pStyle w:val="Compact"/>
              <w:spacing w:before="60" w:after="60"/>
            </w:pPr>
            <w:r>
              <w:rPr>
                <w:b w:val="0"/>
                <w:sz w:val="18"/>
              </w:rPr>
              <w:t xml:space="preserve">Bayesian ρ = 0.8</w:t>
            </w:r>
          </w:p>
        </w:tc>
        <w:tc>
          <w:tcPr>
            <w:vAlign w:val="center"/>
          </w:tcPr>
          <w:p>
            <w:pPr>
              <w:pStyle w:val="Compact"/>
              <w:spacing w:before="60" w:after="60"/>
              <w:jc w:val="right"/>
            </w:pPr>
            <w:r>
              <w:rPr>
                <w:b w:val="0"/>
                <w:sz w:val="18"/>
              </w:rPr>
              <w:t xml:space="preserve">1.000</w:t>
            </w:r>
          </w:p>
        </w:tc>
        <w:tc>
          <w:tcPr>
            <w:vAlign w:val="center"/>
          </w:tcPr>
          <w:p>
            <w:pPr>
              <w:pStyle w:val="Compact"/>
              <w:spacing w:before="60" w:after="60"/>
              <w:jc w:val="right"/>
            </w:pPr>
            <w:r>
              <w:rPr>
                <w:b w:val="0"/>
                <w:sz w:val="18"/>
              </w:rPr>
              <w:t xml:space="preserve">0.016</w:t>
            </w:r>
          </w:p>
        </w:tc>
        <w:tc>
          <w:tcPr>
            <w:vAlign w:val="center"/>
          </w:tcPr>
          <w:p>
            <w:pPr>
              <w:pStyle w:val="Compact"/>
              <w:spacing w:before="60" w:after="60"/>
              <w:jc w:val="right"/>
            </w:pPr>
            <w:r>
              <w:rPr>
                <w:b w:val="0"/>
                <w:sz w:val="18"/>
              </w:rPr>
              <w:t xml:space="preserve">0.000</w:t>
            </w:r>
          </w:p>
        </w:tc>
      </w:tr>
      <w:tr>
        <w:trPr>
          <w:cantSplit/>
        </w:trPr>
        <w:tc>
          <w:tcPr>
            <w:vAlign w:val="center"/>
          </w:tcPr>
          <w:p>
            <w:pPr>
              <w:pStyle w:val="Compact"/>
              <w:spacing w:before="60" w:after="60"/>
            </w:pPr>
            <w:r>
              <w:rPr>
                <w:b w:val="0"/>
                <w:sz w:val="18"/>
              </w:rPr>
              <w:t xml:space="preserve">Heterogeneous</w:t>
            </w:r>
          </w:p>
        </w:tc>
        <w:tc>
          <w:tcPr>
            <w:vAlign w:val="center"/>
          </w:tcPr>
          <w:p>
            <w:pPr>
              <w:pStyle w:val="Compact"/>
              <w:spacing w:before="60" w:after="60"/>
              <w:jc w:val="right"/>
            </w:pPr>
            <w:r>
              <w:rPr>
                <w:b w:val="0"/>
                <w:sz w:val="18"/>
              </w:rPr>
              <w:t xml:space="preserve">250</w:t>
            </w:r>
          </w:p>
        </w:tc>
        <w:tc>
          <w:tcPr>
            <w:vAlign w:val="center"/>
          </w:tcPr>
          <w:p>
            <w:pPr>
              <w:pStyle w:val="Compact"/>
              <w:spacing w:before="60" w:after="60"/>
            </w:pPr>
            <w:r>
              <w:rPr>
                <w:b w:val="0"/>
                <w:sz w:val="18"/>
              </w:rPr>
              <w:t xml:space="preserve">Manc-COJO</w:t>
            </w:r>
          </w:p>
        </w:tc>
        <w:tc>
          <w:tcPr>
            <w:vAlign w:val="center"/>
          </w:tcPr>
          <w:p>
            <w:pPr>
              <w:pStyle w:val="Compact"/>
              <w:spacing w:before="60" w:after="60"/>
              <w:jc w:val="right"/>
            </w:pPr>
            <w:r>
              <w:rPr>
                <w:b w:val="0"/>
                <w:sz w:val="18"/>
              </w:rPr>
              <w:t xml:space="preserve">0.200</w:t>
            </w:r>
          </w:p>
        </w:tc>
        <w:tc>
          <w:tcPr>
            <w:vAlign w:val="center"/>
          </w:tcPr>
          <w:p>
            <w:pPr>
              <w:pStyle w:val="Compact"/>
              <w:spacing w:before="60" w:after="60"/>
              <w:jc w:val="right"/>
            </w:pPr>
            <w:r>
              <w:rPr>
                <w:b w:val="0"/>
                <w:sz w:val="18"/>
              </w:rPr>
              <w:t xml:space="preserve">0.105</w:t>
            </w:r>
          </w:p>
        </w:tc>
        <w:tc>
          <w:tcPr>
            <w:vAlign w:val="center"/>
          </w:tcPr>
          <w:p>
            <w:pPr>
              <w:pStyle w:val="Compact"/>
              <w:spacing w:before="60" w:after="60"/>
              <w:jc w:val="right"/>
            </w:pPr>
            <w:r>
              <w:rPr>
                <w:b w:val="0"/>
                <w:sz w:val="18"/>
              </w:rPr>
              <w:t xml:space="preserve">0.000</w:t>
            </w:r>
          </w:p>
        </w:tc>
      </w:tr>
      <w:tr>
        <w:trPr>
          <w:cantSplit/>
        </w:trPr>
        <w:tc>
          <w:tcPr>
            <w:vAlign w:val="center"/>
          </w:tcPr>
          <w:p>
            <w:pPr>
              <w:pStyle w:val="Compact"/>
              <w:spacing w:before="60" w:after="60"/>
            </w:pPr>
            <w:r>
              <w:rPr>
                <w:b w:val="0"/>
                <w:sz w:val="18"/>
              </w:rPr>
              <w:t xml:space="preserve">Heterogeneous</w:t>
            </w:r>
          </w:p>
        </w:tc>
        <w:tc>
          <w:tcPr>
            <w:vAlign w:val="center"/>
          </w:tcPr>
          <w:p>
            <w:pPr>
              <w:pStyle w:val="Compact"/>
              <w:spacing w:before="60" w:after="60"/>
              <w:jc w:val="right"/>
            </w:pPr>
            <w:r>
              <w:rPr>
                <w:b w:val="0"/>
                <w:sz w:val="18"/>
              </w:rPr>
              <w:t xml:space="preserve">250</w:t>
            </w:r>
          </w:p>
        </w:tc>
        <w:tc>
          <w:tcPr>
            <w:vAlign w:val="center"/>
          </w:tcPr>
          <w:p>
            <w:pPr>
              <w:pStyle w:val="Compact"/>
              <w:spacing w:before="60" w:after="60"/>
            </w:pPr>
            <w:r>
              <w:rPr>
                <w:b w:val="0"/>
                <w:sz w:val="18"/>
              </w:rPr>
              <w:t xml:space="preserve">Bayesian ρ = 0</w:t>
            </w:r>
          </w:p>
        </w:tc>
        <w:tc>
          <w:tcPr>
            <w:vAlign w:val="center"/>
          </w:tcPr>
          <w:p>
            <w:pPr>
              <w:pStyle w:val="Compact"/>
              <w:spacing w:before="60" w:after="60"/>
              <w:jc w:val="right"/>
            </w:pPr>
            <w:r>
              <w:rPr>
                <w:b w:val="0"/>
                <w:sz w:val="18"/>
              </w:rPr>
              <w:t xml:space="preserve">0.275</w:t>
            </w:r>
          </w:p>
        </w:tc>
        <w:tc>
          <w:tcPr>
            <w:vAlign w:val="center"/>
          </w:tcPr>
          <w:p>
            <w:pPr>
              <w:pStyle w:val="Compact"/>
              <w:spacing w:before="60" w:after="60"/>
              <w:jc w:val="right"/>
            </w:pPr>
            <w:r>
              <w:rPr>
                <w:b w:val="0"/>
                <w:sz w:val="18"/>
              </w:rPr>
              <w:t xml:space="preserve">0.078</w:t>
            </w:r>
          </w:p>
        </w:tc>
        <w:tc>
          <w:tcPr>
            <w:vAlign w:val="center"/>
          </w:tcPr>
          <w:p>
            <w:pPr>
              <w:pStyle w:val="Compact"/>
              <w:spacing w:before="60" w:after="60"/>
              <w:jc w:val="right"/>
            </w:pPr>
            <w:r>
              <w:rPr>
                <w:b w:val="0"/>
                <w:sz w:val="18"/>
              </w:rPr>
              <w:t xml:space="preserve">0.025</w:t>
            </w:r>
          </w:p>
        </w:tc>
      </w:tr>
      <w:tr>
        <w:trPr>
          <w:cantSplit/>
        </w:trPr>
        <w:tc>
          <w:tcPr>
            <w:vAlign w:val="center"/>
          </w:tcPr>
          <w:p>
            <w:pPr>
              <w:pStyle w:val="Compact"/>
              <w:spacing w:before="60" w:after="60"/>
            </w:pPr>
            <w:r>
              <w:rPr>
                <w:b w:val="0"/>
                <w:sz w:val="18"/>
              </w:rPr>
              <w:t xml:space="preserve">Heterogeneous</w:t>
            </w:r>
          </w:p>
        </w:tc>
        <w:tc>
          <w:tcPr>
            <w:vAlign w:val="center"/>
          </w:tcPr>
          <w:p>
            <w:pPr>
              <w:pStyle w:val="Compact"/>
              <w:spacing w:before="60" w:after="60"/>
              <w:jc w:val="right"/>
            </w:pPr>
            <w:r>
              <w:rPr>
                <w:b w:val="0"/>
                <w:sz w:val="18"/>
              </w:rPr>
              <w:t xml:space="preserve">250</w:t>
            </w:r>
          </w:p>
        </w:tc>
        <w:tc>
          <w:tcPr>
            <w:vAlign w:val="center"/>
          </w:tcPr>
          <w:p>
            <w:pPr>
              <w:pStyle w:val="Compact"/>
              <w:spacing w:before="60" w:after="60"/>
            </w:pPr>
            <w:r>
              <w:rPr>
                <w:b w:val="0"/>
                <w:sz w:val="18"/>
              </w:rPr>
              <w:t xml:space="preserve">Bayesian ρ = 0.8</w:t>
            </w:r>
          </w:p>
        </w:tc>
        <w:tc>
          <w:tcPr>
            <w:vAlign w:val="center"/>
          </w:tcPr>
          <w:p>
            <w:pPr>
              <w:pStyle w:val="Compact"/>
              <w:spacing w:before="60" w:after="60"/>
              <w:jc w:val="right"/>
            </w:pPr>
            <w:r>
              <w:rPr>
                <w:b w:val="0"/>
                <w:sz w:val="18"/>
              </w:rPr>
              <w:t xml:space="preserve">0.300</w:t>
            </w:r>
          </w:p>
        </w:tc>
        <w:tc>
          <w:tcPr>
            <w:vAlign w:val="center"/>
          </w:tcPr>
          <w:p>
            <w:pPr>
              <w:pStyle w:val="Compact"/>
              <w:spacing w:before="60" w:after="60"/>
              <w:jc w:val="right"/>
            </w:pPr>
            <w:r>
              <w:rPr>
                <w:b w:val="0"/>
                <w:sz w:val="18"/>
              </w:rPr>
              <w:t xml:space="preserve">0.086</w:t>
            </w:r>
          </w:p>
        </w:tc>
        <w:tc>
          <w:tcPr>
            <w:vAlign w:val="center"/>
          </w:tcPr>
          <w:p>
            <w:pPr>
              <w:pStyle w:val="Compact"/>
              <w:spacing w:before="60" w:after="60"/>
              <w:jc w:val="right"/>
            </w:pPr>
            <w:r>
              <w:rPr>
                <w:b w:val="0"/>
                <w:sz w:val="18"/>
              </w:rPr>
              <w:t xml:space="preserve">0.050</w:t>
            </w:r>
          </w:p>
        </w:tc>
      </w:tr>
      <w:tr>
        <w:trPr>
          <w:cantSplit/>
        </w:trPr>
        <w:tc>
          <w:tcPr>
            <w:vAlign w:val="center"/>
          </w:tcPr>
          <w:p>
            <w:pPr>
              <w:pStyle w:val="Compact"/>
              <w:spacing w:before="60" w:after="60"/>
            </w:pPr>
            <w:r>
              <w:rPr>
                <w:b w:val="0"/>
                <w:sz w:val="18"/>
              </w:rPr>
              <w:t xml:space="preserve">Heterogeneous</w:t>
            </w:r>
          </w:p>
        </w:tc>
        <w:tc>
          <w:tcPr>
            <w:vAlign w:val="center"/>
          </w:tcPr>
          <w:p>
            <w:pPr>
              <w:pStyle w:val="Compact"/>
              <w:spacing w:before="60" w:after="60"/>
              <w:jc w:val="right"/>
            </w:pPr>
            <w:r>
              <w:rPr>
                <w:b w:val="0"/>
                <w:sz w:val="18"/>
              </w:rPr>
              <w:t xml:space="preserve">2,000</w:t>
            </w:r>
          </w:p>
        </w:tc>
        <w:tc>
          <w:tcPr>
            <w:vAlign w:val="center"/>
          </w:tcPr>
          <w:p>
            <w:pPr>
              <w:pStyle w:val="Compact"/>
              <w:spacing w:before="60" w:after="60"/>
            </w:pPr>
            <w:r>
              <w:rPr>
                <w:b w:val="0"/>
                <w:sz w:val="18"/>
              </w:rPr>
              <w:t xml:space="preserve">Manc-COJO</w:t>
            </w:r>
          </w:p>
        </w:tc>
        <w:tc>
          <w:tcPr>
            <w:vAlign w:val="center"/>
          </w:tcPr>
          <w:p>
            <w:pPr>
              <w:pStyle w:val="Compact"/>
              <w:spacing w:before="60" w:after="60"/>
              <w:jc w:val="right"/>
            </w:pPr>
            <w:r>
              <w:rPr>
                <w:b w:val="0"/>
                <w:sz w:val="18"/>
              </w:rPr>
              <w:t xml:space="preserve">0.425</w:t>
            </w:r>
          </w:p>
        </w:tc>
        <w:tc>
          <w:tcPr>
            <w:vAlign w:val="center"/>
          </w:tcPr>
          <w:p>
            <w:pPr>
              <w:pStyle w:val="Compact"/>
              <w:spacing w:before="60" w:after="60"/>
              <w:jc w:val="right"/>
            </w:pPr>
            <w:r>
              <w:rPr>
                <w:b w:val="0"/>
                <w:sz w:val="18"/>
              </w:rPr>
              <w:t xml:space="preserve">0.072</w:t>
            </w:r>
          </w:p>
        </w:tc>
        <w:tc>
          <w:tcPr>
            <w:vAlign w:val="center"/>
          </w:tcPr>
          <w:p>
            <w:pPr>
              <w:pStyle w:val="Compact"/>
              <w:spacing w:before="60" w:after="60"/>
              <w:jc w:val="right"/>
            </w:pPr>
            <w:r>
              <w:rPr>
                <w:b w:val="0"/>
                <w:sz w:val="18"/>
              </w:rPr>
              <w:t xml:space="preserve">0.000</w:t>
            </w:r>
          </w:p>
        </w:tc>
      </w:tr>
      <w:tr>
        <w:trPr>
          <w:cantSplit/>
        </w:trPr>
        <w:tc>
          <w:tcPr>
            <w:vAlign w:val="center"/>
          </w:tcPr>
          <w:p>
            <w:pPr>
              <w:pStyle w:val="Compact"/>
              <w:spacing w:before="60" w:after="60"/>
            </w:pPr>
            <w:r>
              <w:rPr>
                <w:b w:val="0"/>
                <w:sz w:val="18"/>
              </w:rPr>
              <w:t xml:space="preserve">Heterogeneous</w:t>
            </w:r>
          </w:p>
        </w:tc>
        <w:tc>
          <w:tcPr>
            <w:vAlign w:val="center"/>
          </w:tcPr>
          <w:p>
            <w:pPr>
              <w:pStyle w:val="Compact"/>
              <w:spacing w:before="60" w:after="60"/>
              <w:jc w:val="right"/>
            </w:pPr>
            <w:r>
              <w:rPr>
                <w:b w:val="0"/>
                <w:sz w:val="18"/>
              </w:rPr>
              <w:t xml:space="preserve">2,000</w:t>
            </w:r>
          </w:p>
        </w:tc>
        <w:tc>
          <w:tcPr>
            <w:vAlign w:val="center"/>
          </w:tcPr>
          <w:p>
            <w:pPr>
              <w:pStyle w:val="Compact"/>
              <w:spacing w:before="60" w:after="60"/>
            </w:pPr>
            <w:r>
              <w:rPr>
                <w:b w:val="0"/>
                <w:sz w:val="18"/>
              </w:rPr>
              <w:t xml:space="preserve">Bayesian ρ = 0</w:t>
            </w:r>
          </w:p>
        </w:tc>
        <w:tc>
          <w:tcPr>
            <w:vAlign w:val="center"/>
          </w:tcPr>
          <w:p>
            <w:pPr>
              <w:pStyle w:val="Compact"/>
              <w:spacing w:before="60" w:after="60"/>
              <w:jc w:val="right"/>
            </w:pPr>
            <w:r>
              <w:rPr>
                <w:b w:val="0"/>
                <w:sz w:val="18"/>
              </w:rPr>
              <w:t xml:space="preserve">0.875</w:t>
            </w:r>
          </w:p>
        </w:tc>
        <w:tc>
          <w:tcPr>
            <w:vAlign w:val="center"/>
          </w:tcPr>
          <w:p>
            <w:pPr>
              <w:pStyle w:val="Compact"/>
              <w:spacing w:before="60" w:after="60"/>
              <w:jc w:val="right"/>
            </w:pPr>
            <w:r>
              <w:rPr>
                <w:b w:val="0"/>
                <w:sz w:val="18"/>
              </w:rPr>
              <w:t xml:space="preserve">0.018</w:t>
            </w:r>
          </w:p>
        </w:tc>
        <w:tc>
          <w:tcPr>
            <w:vAlign w:val="center"/>
          </w:tcPr>
          <w:p>
            <w:pPr>
              <w:pStyle w:val="Compact"/>
              <w:spacing w:before="60" w:after="60"/>
              <w:jc w:val="right"/>
            </w:pPr>
            <w:r>
              <w:rPr>
                <w:b w:val="0"/>
                <w:sz w:val="18"/>
              </w:rPr>
              <w:t xml:space="preserve">0.000</w:t>
            </w:r>
          </w:p>
        </w:tc>
      </w:tr>
      <w:tr>
        <w:trPr>
          <w:cantSplit/>
        </w:trPr>
        <w:tc>
          <w:tcPr>
            <w:vAlign w:val="center"/>
          </w:tcPr>
          <w:p>
            <w:pPr>
              <w:pStyle w:val="Compact"/>
              <w:spacing w:before="60" w:after="60"/>
            </w:pPr>
            <w:r>
              <w:rPr>
                <w:b w:val="0"/>
                <w:sz w:val="18"/>
              </w:rPr>
              <w:t xml:space="preserve">Heterogeneous</w:t>
            </w:r>
          </w:p>
        </w:tc>
        <w:tc>
          <w:tcPr>
            <w:vAlign w:val="center"/>
          </w:tcPr>
          <w:p>
            <w:pPr>
              <w:pStyle w:val="Compact"/>
              <w:spacing w:before="60" w:after="60"/>
              <w:jc w:val="right"/>
            </w:pPr>
            <w:r>
              <w:rPr>
                <w:b w:val="0"/>
                <w:sz w:val="18"/>
              </w:rPr>
              <w:t xml:space="preserve">2,000</w:t>
            </w:r>
          </w:p>
        </w:tc>
        <w:tc>
          <w:tcPr>
            <w:vAlign w:val="center"/>
          </w:tcPr>
          <w:p>
            <w:pPr>
              <w:pStyle w:val="Compact"/>
              <w:spacing w:before="60" w:after="60"/>
            </w:pPr>
            <w:r>
              <w:rPr>
                <w:b w:val="0"/>
                <w:sz w:val="18"/>
              </w:rPr>
              <w:t xml:space="preserve">Bayesian ρ = 0.8</w:t>
            </w:r>
          </w:p>
        </w:tc>
        <w:tc>
          <w:tcPr>
            <w:vAlign w:val="center"/>
          </w:tcPr>
          <w:p>
            <w:pPr>
              <w:pStyle w:val="Compact"/>
              <w:spacing w:before="60" w:after="60"/>
              <w:jc w:val="right"/>
            </w:pPr>
            <w:r>
              <w:rPr>
                <w:b w:val="0"/>
                <w:sz w:val="18"/>
              </w:rPr>
              <w:t xml:space="preserve">0.900</w:t>
            </w:r>
          </w:p>
        </w:tc>
        <w:tc>
          <w:tcPr>
            <w:vAlign w:val="center"/>
          </w:tcPr>
          <w:p>
            <w:pPr>
              <w:pStyle w:val="Compact"/>
              <w:spacing w:before="60" w:after="60"/>
              <w:jc w:val="right"/>
            </w:pPr>
            <w:r>
              <w:rPr>
                <w:b w:val="0"/>
                <w:sz w:val="18"/>
              </w:rPr>
              <w:t xml:space="preserve">0.020</w:t>
            </w:r>
          </w:p>
        </w:tc>
        <w:tc>
          <w:tcPr>
            <w:vAlign w:val="center"/>
          </w:tcPr>
          <w:p>
            <w:pPr>
              <w:pStyle w:val="Compact"/>
              <w:spacing w:before="60" w:after="60"/>
              <w:jc w:val="right"/>
            </w:pPr>
            <w:r>
              <w:rPr>
                <w:b w:val="0"/>
                <w:sz w:val="18"/>
              </w:rPr>
              <w:t xml:space="preserve">0.000</w:t>
            </w:r>
          </w:p>
        </w:tc>
      </w:tr>
    </w:tbl>
    <w:p>
      <w:pPr>
        <w:pStyle w:val="BodyText"/>
        <w:spacing w:after="160"/>
      </w:pPr>
      <w:r>
        <w:rPr>
          <w:i/>
          <w:iCs/>
        </w:rPr>
        <w:t xml:space="preserve">Table 1. Selected primary-threshold results. All sample sizes, thresholds, metrics and MCSEs are in</w:t>
      </w:r>
      <w:r>
        <w:rPr>
          <w:i/>
          <w:iCs/>
        </w:rPr>
        <w:t xml:space="preserve"> </w:t>
      </w:r>
      <w:hyperlink r:id="rId23">
        <w:r>
          <w:rPr>
            <w:rStyle w:val="Hyperlink"/>
            <w:i/>
            <w:iCs/>
          </w:rPr>
          <w:t xml:space="preserve">summary.tsv</w:t>
        </w:r>
      </w:hyperlink>
      <w:r>
        <w:rPr>
          <w:i/>
          <w:iCs/>
        </w:rPr>
        <w:t xml:space="preserve">.</w:t>
      </w:r>
    </w:p>
    <w:bookmarkEnd w:id="24"/>
    <w:bookmarkStart w:id="28" w:name="X44323a1c9decab3c1184cca3be51313175dd52c"/>
    <w:p>
      <w:pPr>
        <w:pStyle w:val="Heading2"/>
        <w:keepNext/>
        <w:pageBreakBefore/>
      </w:pPr>
      <w:r>
        <w:t xml:space="preserve">The benefit of borrowing depended on effect similarity</w:t>
      </w:r>
    </w:p>
    <w:p>
      <w:pPr>
        <w:pStyle w:val="FirstParagraph"/>
      </w:pPr>
      <w:r>
        <w:t xml:space="preserve">At AFR sample size 250, strong borrowing lowered RMSE from 0.050 to 0.039 under shared effects but raised it from 0.078 to 0.086 under heterogeneous effects. The same direction persisted at sample size 2,000, although errors were smaller. Borrowing improved estimation when similarity was correctly assumed; the uncorrelated-effect prior better preserved heterogeneous effects in this experiment.</w:t>
      </w:r>
    </w:p>
    <w:p>
      <w:pPr>
        <w:pStyle w:val="BodyText"/>
        <w:keepNext/>
      </w:pPr>
      <w:r>
        <w:drawing>
          <wp:inline>
            <wp:extent cx="5394960" cy="2957237"/>
            <wp:effectExtent b="0" l="0" r="0" t="0"/>
            <wp:docPr descr="AFR effect-estimation error under shared and heterogeneous effects" title="" id="26" name="Picture"/>
            <a:graphic>
              <a:graphicData uri="http://schemas.openxmlformats.org/drawingml/2006/picture">
                <pic:pic>
                  <pic:nvPicPr>
                    <pic:cNvPr descr="results/figures/02_effect_error.png" id="27" name="Picture"/>
                    <pic:cNvPicPr>
                      <a:picLocks noChangeArrowheads="1" noChangeAspect="1"/>
                    </pic:cNvPicPr>
                  </pic:nvPicPr>
                  <pic:blipFill>
                    <a:blip r:embed="rId25"/>
                    <a:stretch>
                      <a:fillRect/>
                    </a:stretch>
                  </pic:blipFill>
                  <pic:spPr bwMode="auto">
                    <a:xfrm>
                      <a:off x="0" y="0"/>
                      <a:ext cx="5394960" cy="2957237"/>
                    </a:xfrm>
                    <a:prstGeom prst="rect">
                      <a:avLst/>
                    </a:prstGeom>
                    <a:noFill/>
                    <a:ln w="9525">
                      <a:noFill/>
                      <a:headEnd/>
                      <a:tailEnd/>
                    </a:ln>
                  </pic:spPr>
                </pic:pic>
              </a:graphicData>
            </a:graphic>
          </wp:inline>
        </w:drawing>
      </w:r>
    </w:p>
    <w:p>
      <w:pPr>
        <w:pStyle w:val="BodyText"/>
        <w:spacing w:after="160"/>
      </w:pPr>
      <w:r>
        <w:rPr>
          <w:i/>
          <w:iCs/>
        </w:rPr>
        <w:t xml:space="preserve">Figure 2. AFR whole-locus RMSE with delta-method Monte Carlo error bars. Posterior-mean RMSE is identical at both Bayesian PIP reporting thresholds.</w:t>
      </w:r>
    </w:p>
    <w:bookmarkEnd w:id="28"/>
    <w:bookmarkStart w:id="36" w:name="Xfc3e50d19fd3fd30b932b742e3b60622db15045"/>
    <w:p>
      <w:pPr>
        <w:pStyle w:val="Heading2"/>
        <w:keepNext/>
      </w:pPr>
      <w:r>
        <w:t xml:space="preserve">Recovery and shrinkage of the AFR-specific variant were distinct outcomes</w:t>
      </w:r>
    </w:p>
    <w:p>
      <w:pPr>
        <w:pStyle w:val="FirstParagraph"/>
      </w:pPr>
      <w:r>
        <w:t xml:space="preserve">In the heterogeneous scenario, rsSIM006 had effect zero in EUR and 0.28 in AFR. At AFR sample size 250, it was recovered in 10% of replicates under the uncorrelated-effect prior and in none with strong borrowing or Manc-COJO. At sample size 2,000, recovery was 100% under both Bayesian priors and 55% under Manc-COJO. Increasing sample size improved selection, but selection alone did not establish accurate estimation.</w:t>
      </w:r>
    </w:p>
    <w:p>
      <w:pPr>
        <w:pStyle w:val="BodyText"/>
        <w:keepNext/>
      </w:pPr>
      <w:r>
        <w:drawing>
          <wp:inline>
            <wp:extent cx="5394960" cy="2477685"/>
            <wp:effectExtent b="0" l="0" r="0" t="0"/>
            <wp:docPr descr="Recovery frequency of the AFR-specific variant" title="" id="30" name="Picture"/>
            <a:graphic>
              <a:graphicData uri="http://schemas.openxmlformats.org/drawingml/2006/picture">
                <pic:pic>
                  <pic:nvPicPr>
                    <pic:cNvPr descr="results/figures/03_afr_specific_recovery.png" id="31" name="Picture"/>
                    <pic:cNvPicPr>
                      <a:picLocks noChangeArrowheads="1" noChangeAspect="1"/>
                    </pic:cNvPicPr>
                  </pic:nvPicPr>
                  <pic:blipFill>
                    <a:blip r:embed="rId29"/>
                    <a:stretch>
                      <a:fillRect/>
                    </a:stretch>
                  </pic:blipFill>
                  <pic:spPr bwMode="auto">
                    <a:xfrm>
                      <a:off x="0" y="0"/>
                      <a:ext cx="5394960" cy="2477685"/>
                    </a:xfrm>
                    <a:prstGeom prst="rect">
                      <a:avLst/>
                    </a:prstGeom>
                    <a:noFill/>
                    <a:ln w="9525">
                      <a:noFill/>
                      <a:headEnd/>
                      <a:tailEnd/>
                    </a:ln>
                  </pic:spPr>
                </pic:pic>
              </a:graphicData>
            </a:graphic>
          </wp:inline>
        </w:drawing>
      </w:r>
    </w:p>
    <w:p>
      <w:pPr>
        <w:pStyle w:val="BodyText"/>
        <w:spacing w:after="160"/>
      </w:pPr>
      <w:r>
        <w:rPr>
          <w:i/>
          <w:iCs/>
        </w:rPr>
        <w:t xml:space="preserve">Figure 3. Selection frequency for rsSIM006 under heterogeneous effects; 20 replicates per sample size.</w:t>
      </w:r>
    </w:p>
    <w:p>
      <w:pPr>
        <w:pStyle w:val="BodyText"/>
        <w:pageBreakBefore/>
      </w:pPr>
      <w:r>
        <w:t xml:space="preserve">Strong borrowing attenuated the AFR-specific effect more at every sample size. At N = 250, the mean posterior effect was 0.061 with ρ = 0.8 versus 0.103 with ρ = 0, both below the true effect of 0.28. At N = 2,000, means increased to 0.247 and 0.265. These averages include all replicates regardless of selection and demonstrate why recall should be interpreted alongside effect estimates.</w:t>
      </w:r>
    </w:p>
    <w:p>
      <w:pPr>
        <w:pStyle w:val="BodyText"/>
        <w:keepNext/>
      </w:pPr>
      <w:r>
        <w:drawing>
          <wp:inline>
            <wp:extent cx="5394960" cy="2477685"/>
            <wp:effectExtent b="0" l="0" r="0" t="0"/>
            <wp:docPr descr="Posterior shrinkage of the AFR-specific effect" title="" id="33" name="Picture"/>
            <a:graphic>
              <a:graphicData uri="http://schemas.openxmlformats.org/drawingml/2006/picture">
                <pic:pic>
                  <pic:nvPicPr>
                    <pic:cNvPr descr="results/figures/04_afr_effect_shrinkage.png" id="34" name="Picture"/>
                    <pic:cNvPicPr>
                      <a:picLocks noChangeArrowheads="1" noChangeAspect="1"/>
                    </pic:cNvPicPr>
                  </pic:nvPicPr>
                  <pic:blipFill>
                    <a:blip r:embed="rId32"/>
                    <a:stretch>
                      <a:fillRect/>
                    </a:stretch>
                  </pic:blipFill>
                  <pic:spPr bwMode="auto">
                    <a:xfrm>
                      <a:off x="0" y="0"/>
                      <a:ext cx="5394960" cy="2477685"/>
                    </a:xfrm>
                    <a:prstGeom prst="rect">
                      <a:avLst/>
                    </a:prstGeom>
                    <a:noFill/>
                    <a:ln w="9525">
                      <a:noFill/>
                      <a:headEnd/>
                      <a:tailEnd/>
                    </a:ln>
                  </pic:spPr>
                </pic:pic>
              </a:graphicData>
            </a:graphic>
          </wp:inline>
        </w:drawing>
      </w:r>
    </w:p>
    <w:p>
      <w:pPr>
        <w:pStyle w:val="BodyText"/>
        <w:spacing w:after="160"/>
      </w:pPr>
      <w:r>
        <w:rPr>
          <w:i/>
          <w:iCs/>
        </w:rPr>
        <w:t xml:space="preserve">Figure 4. Mean model-averaged AFR effect for rsSIM006. The dashed line marks truth; error bars describe Monte Carlo uncertainty. Values are available in</w:t>
      </w:r>
      <w:r>
        <w:rPr>
          <w:i/>
          <w:iCs/>
        </w:rPr>
        <w:t xml:space="preserve"> </w:t>
      </w:r>
      <w:hyperlink r:id="rId35">
        <w:r>
          <w:rPr>
            <w:rStyle w:val="Hyperlink"/>
            <w:i/>
            <w:iCs/>
          </w:rPr>
          <w:t xml:space="preserve">afr_specific_posterior_means.tsv</w:t>
        </w:r>
      </w:hyperlink>
      <w:r>
        <w:rPr>
          <w:i/>
          <w:iCs/>
        </w:rPr>
        <w:t xml:space="preserve">.</w:t>
      </w:r>
    </w:p>
    <w:bookmarkEnd w:id="36"/>
    <w:bookmarkStart w:id="39" w:name="Xffd756b263927f82aefd3726f1fab9c6278eb64"/>
    <w:p>
      <w:pPr>
        <w:pStyle w:val="Heading2"/>
        <w:keepNext/>
      </w:pPr>
      <w:r>
        <w:t xml:space="preserve">Null results depended on the reporting threshold</w:t>
      </w:r>
    </w:p>
    <w:p>
      <w:pPr>
        <w:pStyle w:val="FirstParagraph"/>
      </w:pPr>
      <w:r>
        <w:t xml:space="preserve">At PIP ≥ 0.95, neither Bayesian specification selected variants in any null replicate; Manc-COJO also made no null selections. At PIP ≥ 0.50, false selections occurred in up to 3 of 20 replicates. Zero events among 20 independent replicates gives a one-sided 95% binomial upper bound of</w:t>
      </w:r>
      <w:r>
        <w:t xml:space="preserve"> </w:t>
      </w:r>
      <m:oMath>
        <m:r>
          <m:t>1</m:t>
        </m:r>
        <m:r>
          <m:rPr>
            <m:sty m:val="p"/>
          </m:rPr>
          <m:t>−</m:t>
        </m:r>
        <m:sSup>
          <m:e>
            <m:r>
              <m:t>0.05</m:t>
            </m:r>
          </m:e>
          <m:sup>
            <m:r>
              <m:t>1</m:t>
            </m:r>
            <m:r>
              <m:rPr>
                <m:sty m:val="p"/>
              </m:rPr>
              <m:t>/</m:t>
            </m:r>
            <m:r>
              <m:t>20</m:t>
            </m:r>
          </m:sup>
        </m:sSup>
        <m:r>
          <m:rPr>
            <m:sty m:val="p"/>
          </m:rPr>
          <m:t>=</m:t>
        </m:r>
        <m:r>
          <m:t>0.139</m:t>
        </m:r>
      </m:oMath>
      <w:r>
        <w:t xml:space="preserve">. This cannot establish genome-wide calibration. Counts across sample sizes cannot be pooled as independent observations because cohorts are nested.</w:t>
      </w:r>
    </w:p>
    <w:tbl>
      <w:tblPr>
        <w:tblStyle w:val="Table"/>
        <w:tblW w:type="pct" w:w="5000"/>
        <w:tblLayout w:type="autofit"/>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50"/>
        <w:gridCol w:w="1667"/>
        <w:gridCol w:w="1667"/>
        <w:gridCol w:w="1667"/>
        <w:gridCol w:w="1667"/>
      </w:tblGrid>
      <w:tr>
        <w:trPr>
          <w:tblHeader w:val="on"/>
          <w:cantSplit/>
          <w:tblHeader/>
        </w:trPr>
        <w:tc>
          <w:tcPr>
            <w:vAlign w:val="center"/>
            <w:shd w:fill="E8EFF4"/>
          </w:tcPr>
          <w:p>
            <w:pPr>
              <w:pStyle w:val="Compact"/>
              <w:spacing w:before="60" w:after="60"/>
            </w:pPr>
            <w:r>
              <w:rPr>
                <w:b/>
                <w:sz w:val="18"/>
              </w:rPr>
              <w:t xml:space="preserve">Replicates with any null false selection</w:t>
            </w:r>
          </w:p>
        </w:tc>
        <w:tc>
          <w:tcPr>
            <w:vAlign w:val="center"/>
            <w:shd w:fill="E8EFF4"/>
          </w:tcPr>
          <w:p>
            <w:pPr>
              <w:pStyle w:val="Compact"/>
              <w:spacing w:before="60" w:after="60"/>
              <w:jc w:val="right"/>
            </w:pPr>
            <w:r>
              <w:rPr>
                <w:b/>
                <w:sz w:val="18"/>
              </w:rPr>
              <w:t xml:space="preserve">AFR N = 250</w:t>
            </w:r>
          </w:p>
        </w:tc>
        <w:tc>
          <w:tcPr>
            <w:vAlign w:val="center"/>
            <w:shd w:fill="E8EFF4"/>
          </w:tcPr>
          <w:p>
            <w:pPr>
              <w:pStyle w:val="Compact"/>
              <w:spacing w:before="60" w:after="60"/>
              <w:jc w:val="right"/>
            </w:pPr>
            <w:r>
              <w:rPr>
                <w:b/>
                <w:sz w:val="18"/>
              </w:rPr>
              <w:t xml:space="preserve">500</w:t>
            </w:r>
          </w:p>
        </w:tc>
        <w:tc>
          <w:tcPr>
            <w:vAlign w:val="center"/>
            <w:shd w:fill="E8EFF4"/>
          </w:tcPr>
          <w:p>
            <w:pPr>
              <w:pStyle w:val="Compact"/>
              <w:spacing w:before="60" w:after="60"/>
              <w:jc w:val="right"/>
            </w:pPr>
            <w:r>
              <w:rPr>
                <w:b/>
                <w:sz w:val="18"/>
              </w:rPr>
              <w:t xml:space="preserve">1,000</w:t>
            </w:r>
          </w:p>
        </w:tc>
        <w:tc>
          <w:tcPr>
            <w:vAlign w:val="center"/>
            <w:shd w:fill="E8EFF4"/>
          </w:tcPr>
          <w:p>
            <w:pPr>
              <w:pStyle w:val="Compact"/>
              <w:spacing w:before="60" w:after="60"/>
              <w:jc w:val="right"/>
            </w:pPr>
            <w:r>
              <w:rPr>
                <w:b/>
                <w:sz w:val="18"/>
              </w:rPr>
              <w:t xml:space="preserve">2,000</w:t>
            </w:r>
          </w:p>
        </w:tc>
      </w:tr>
      <w:tr>
        <w:trPr>
          <w:cantSplit/>
        </w:trPr>
        <w:tc>
          <w:tcPr>
            <w:vAlign w:val="center"/>
          </w:tcPr>
          <w:p>
            <w:pPr>
              <w:pStyle w:val="Compact"/>
              <w:spacing w:before="60" w:after="60"/>
            </w:pPr>
            <w:r>
              <w:rPr>
                <w:b w:val="0"/>
                <w:sz w:val="18"/>
              </w:rPr>
              <w:t xml:space="preserve">Manc-COJO</w:t>
            </w:r>
          </w:p>
        </w:tc>
        <w:tc>
          <w:tcPr>
            <w:vAlign w:val="center"/>
          </w:tcPr>
          <w:p>
            <w:pPr>
              <w:pStyle w:val="Compact"/>
              <w:spacing w:before="60" w:after="60"/>
              <w:jc w:val="right"/>
            </w:pPr>
            <w:r>
              <w:rPr>
                <w:b w:val="0"/>
                <w:sz w:val="18"/>
              </w:rPr>
              <w:t xml:space="preserve">0/20</w:t>
            </w:r>
          </w:p>
        </w:tc>
        <w:tc>
          <w:tcPr>
            <w:vAlign w:val="center"/>
          </w:tcPr>
          <w:p>
            <w:pPr>
              <w:pStyle w:val="Compact"/>
              <w:spacing w:before="60" w:after="60"/>
              <w:jc w:val="right"/>
            </w:pPr>
            <w:r>
              <w:rPr>
                <w:b w:val="0"/>
                <w:sz w:val="18"/>
              </w:rPr>
              <w:t xml:space="preserve">0/20</w:t>
            </w:r>
          </w:p>
        </w:tc>
        <w:tc>
          <w:tcPr>
            <w:vAlign w:val="center"/>
          </w:tcPr>
          <w:p>
            <w:pPr>
              <w:pStyle w:val="Compact"/>
              <w:spacing w:before="60" w:after="60"/>
              <w:jc w:val="right"/>
            </w:pPr>
            <w:r>
              <w:rPr>
                <w:b w:val="0"/>
                <w:sz w:val="18"/>
              </w:rPr>
              <w:t xml:space="preserve">0/20</w:t>
            </w:r>
          </w:p>
        </w:tc>
        <w:tc>
          <w:tcPr>
            <w:vAlign w:val="center"/>
          </w:tcPr>
          <w:p>
            <w:pPr>
              <w:pStyle w:val="Compact"/>
              <w:spacing w:before="60" w:after="60"/>
              <w:jc w:val="right"/>
            </w:pPr>
            <w:r>
              <w:rPr>
                <w:b w:val="0"/>
                <w:sz w:val="18"/>
              </w:rPr>
              <w:t xml:space="preserve">0/20</w:t>
            </w:r>
          </w:p>
        </w:tc>
      </w:tr>
      <w:tr>
        <w:trPr>
          <w:cantSplit/>
        </w:trPr>
        <w:tc>
          <w:tcPr>
            <w:vAlign w:val="center"/>
          </w:tcPr>
          <w:p>
            <w:pPr>
              <w:pStyle w:val="Compact"/>
              <w:spacing w:before="60" w:after="60"/>
            </w:pPr>
            <w:r>
              <w:rPr>
                <w:b w:val="0"/>
                <w:sz w:val="18"/>
              </w:rPr>
              <w:t xml:space="preserve">Bayesian ρ = 0, PIP ≥ 0.95</w:t>
            </w:r>
          </w:p>
        </w:tc>
        <w:tc>
          <w:tcPr>
            <w:vAlign w:val="center"/>
          </w:tcPr>
          <w:p>
            <w:pPr>
              <w:pStyle w:val="Compact"/>
              <w:spacing w:before="60" w:after="60"/>
              <w:jc w:val="right"/>
            </w:pPr>
            <w:r>
              <w:rPr>
                <w:b w:val="0"/>
                <w:sz w:val="18"/>
              </w:rPr>
              <w:t xml:space="preserve">0/20</w:t>
            </w:r>
          </w:p>
        </w:tc>
        <w:tc>
          <w:tcPr>
            <w:vAlign w:val="center"/>
          </w:tcPr>
          <w:p>
            <w:pPr>
              <w:pStyle w:val="Compact"/>
              <w:spacing w:before="60" w:after="60"/>
              <w:jc w:val="right"/>
            </w:pPr>
            <w:r>
              <w:rPr>
                <w:b w:val="0"/>
                <w:sz w:val="18"/>
              </w:rPr>
              <w:t xml:space="preserve">0/20</w:t>
            </w:r>
          </w:p>
        </w:tc>
        <w:tc>
          <w:tcPr>
            <w:vAlign w:val="center"/>
          </w:tcPr>
          <w:p>
            <w:pPr>
              <w:pStyle w:val="Compact"/>
              <w:spacing w:before="60" w:after="60"/>
              <w:jc w:val="right"/>
            </w:pPr>
            <w:r>
              <w:rPr>
                <w:b w:val="0"/>
                <w:sz w:val="18"/>
              </w:rPr>
              <w:t xml:space="preserve">0/20</w:t>
            </w:r>
          </w:p>
        </w:tc>
        <w:tc>
          <w:tcPr>
            <w:vAlign w:val="center"/>
          </w:tcPr>
          <w:p>
            <w:pPr>
              <w:pStyle w:val="Compact"/>
              <w:spacing w:before="60" w:after="60"/>
              <w:jc w:val="right"/>
            </w:pPr>
            <w:r>
              <w:rPr>
                <w:b w:val="0"/>
                <w:sz w:val="18"/>
              </w:rPr>
              <w:t xml:space="preserve">0/20</w:t>
            </w:r>
          </w:p>
        </w:tc>
      </w:tr>
      <w:tr>
        <w:trPr>
          <w:cantSplit/>
        </w:trPr>
        <w:tc>
          <w:tcPr>
            <w:vAlign w:val="center"/>
          </w:tcPr>
          <w:p>
            <w:pPr>
              <w:pStyle w:val="Compact"/>
              <w:spacing w:before="60" w:after="60"/>
            </w:pPr>
            <w:r>
              <w:rPr>
                <w:b w:val="0"/>
                <w:sz w:val="18"/>
              </w:rPr>
              <w:t xml:space="preserve">Bayesian ρ = 0.8, PIP ≥ 0.95</w:t>
            </w:r>
          </w:p>
        </w:tc>
        <w:tc>
          <w:tcPr>
            <w:vAlign w:val="center"/>
          </w:tcPr>
          <w:p>
            <w:pPr>
              <w:pStyle w:val="Compact"/>
              <w:spacing w:before="60" w:after="60"/>
              <w:jc w:val="right"/>
            </w:pPr>
            <w:r>
              <w:rPr>
                <w:b w:val="0"/>
                <w:sz w:val="18"/>
              </w:rPr>
              <w:t xml:space="preserve">0/20</w:t>
            </w:r>
          </w:p>
        </w:tc>
        <w:tc>
          <w:tcPr>
            <w:vAlign w:val="center"/>
          </w:tcPr>
          <w:p>
            <w:pPr>
              <w:pStyle w:val="Compact"/>
              <w:spacing w:before="60" w:after="60"/>
              <w:jc w:val="right"/>
            </w:pPr>
            <w:r>
              <w:rPr>
                <w:b w:val="0"/>
                <w:sz w:val="18"/>
              </w:rPr>
              <w:t xml:space="preserve">0/20</w:t>
            </w:r>
          </w:p>
        </w:tc>
        <w:tc>
          <w:tcPr>
            <w:vAlign w:val="center"/>
          </w:tcPr>
          <w:p>
            <w:pPr>
              <w:pStyle w:val="Compact"/>
              <w:spacing w:before="60" w:after="60"/>
              <w:jc w:val="right"/>
            </w:pPr>
            <w:r>
              <w:rPr>
                <w:b w:val="0"/>
                <w:sz w:val="18"/>
              </w:rPr>
              <w:t xml:space="preserve">0/20</w:t>
            </w:r>
          </w:p>
        </w:tc>
        <w:tc>
          <w:tcPr>
            <w:vAlign w:val="center"/>
          </w:tcPr>
          <w:p>
            <w:pPr>
              <w:pStyle w:val="Compact"/>
              <w:spacing w:before="60" w:after="60"/>
              <w:jc w:val="right"/>
            </w:pPr>
            <w:r>
              <w:rPr>
                <w:b w:val="0"/>
                <w:sz w:val="18"/>
              </w:rPr>
              <w:t xml:space="preserve">0/20</w:t>
            </w:r>
          </w:p>
        </w:tc>
      </w:tr>
      <w:tr>
        <w:trPr>
          <w:cantSplit/>
        </w:trPr>
        <w:tc>
          <w:tcPr>
            <w:vAlign w:val="center"/>
          </w:tcPr>
          <w:p>
            <w:pPr>
              <w:pStyle w:val="Compact"/>
              <w:spacing w:before="60" w:after="60"/>
            </w:pPr>
            <w:r>
              <w:rPr>
                <w:b w:val="0"/>
                <w:sz w:val="18"/>
              </w:rPr>
              <w:t xml:space="preserve">Bayesian ρ = 0, PIP ≥ 0.50</w:t>
            </w:r>
          </w:p>
        </w:tc>
        <w:tc>
          <w:tcPr>
            <w:vAlign w:val="center"/>
          </w:tcPr>
          <w:p>
            <w:pPr>
              <w:pStyle w:val="Compact"/>
              <w:spacing w:before="60" w:after="60"/>
              <w:jc w:val="right"/>
            </w:pPr>
            <w:r>
              <w:rPr>
                <w:b w:val="0"/>
                <w:sz w:val="18"/>
              </w:rPr>
              <w:t xml:space="preserve">0/20</w:t>
            </w:r>
          </w:p>
        </w:tc>
        <w:tc>
          <w:tcPr>
            <w:vAlign w:val="center"/>
          </w:tcPr>
          <w:p>
            <w:pPr>
              <w:pStyle w:val="Compact"/>
              <w:spacing w:before="60" w:after="60"/>
              <w:jc w:val="right"/>
            </w:pPr>
            <w:r>
              <w:rPr>
                <w:b w:val="0"/>
                <w:sz w:val="18"/>
              </w:rPr>
              <w:t xml:space="preserve">2/20</w:t>
            </w:r>
          </w:p>
        </w:tc>
        <w:tc>
          <w:tcPr>
            <w:vAlign w:val="center"/>
          </w:tcPr>
          <w:p>
            <w:pPr>
              <w:pStyle w:val="Compact"/>
              <w:spacing w:before="60" w:after="60"/>
              <w:jc w:val="right"/>
            </w:pPr>
            <w:r>
              <w:rPr>
                <w:b w:val="0"/>
                <w:sz w:val="18"/>
              </w:rPr>
              <w:t xml:space="preserve">3/20</w:t>
            </w:r>
          </w:p>
        </w:tc>
        <w:tc>
          <w:tcPr>
            <w:vAlign w:val="center"/>
          </w:tcPr>
          <w:p>
            <w:pPr>
              <w:pStyle w:val="Compact"/>
              <w:spacing w:before="60" w:after="60"/>
              <w:jc w:val="right"/>
            </w:pPr>
            <w:r>
              <w:rPr>
                <w:b w:val="0"/>
                <w:sz w:val="18"/>
              </w:rPr>
              <w:t xml:space="preserve">2/20</w:t>
            </w:r>
          </w:p>
        </w:tc>
      </w:tr>
      <w:tr>
        <w:trPr>
          <w:cantSplit/>
        </w:trPr>
        <w:tc>
          <w:tcPr>
            <w:vAlign w:val="center"/>
          </w:tcPr>
          <w:p>
            <w:pPr>
              <w:pStyle w:val="Compact"/>
              <w:spacing w:before="60" w:after="60"/>
            </w:pPr>
            <w:r>
              <w:rPr>
                <w:b w:val="0"/>
                <w:sz w:val="18"/>
              </w:rPr>
              <w:t xml:space="preserve">Bayesian ρ = 0.8, PIP ≥ 0.50</w:t>
            </w:r>
          </w:p>
        </w:tc>
        <w:tc>
          <w:tcPr>
            <w:vAlign w:val="center"/>
          </w:tcPr>
          <w:p>
            <w:pPr>
              <w:pStyle w:val="Compact"/>
              <w:spacing w:before="60" w:after="60"/>
              <w:jc w:val="right"/>
            </w:pPr>
            <w:r>
              <w:rPr>
                <w:b w:val="0"/>
                <w:sz w:val="18"/>
              </w:rPr>
              <w:t xml:space="preserve">0/20</w:t>
            </w:r>
          </w:p>
        </w:tc>
        <w:tc>
          <w:tcPr>
            <w:vAlign w:val="center"/>
          </w:tcPr>
          <w:p>
            <w:pPr>
              <w:pStyle w:val="Compact"/>
              <w:spacing w:before="60" w:after="60"/>
              <w:jc w:val="right"/>
            </w:pPr>
            <w:r>
              <w:rPr>
                <w:b w:val="0"/>
                <w:sz w:val="18"/>
              </w:rPr>
              <w:t xml:space="preserve">1/20</w:t>
            </w:r>
          </w:p>
        </w:tc>
        <w:tc>
          <w:tcPr>
            <w:vAlign w:val="center"/>
          </w:tcPr>
          <w:p>
            <w:pPr>
              <w:pStyle w:val="Compact"/>
              <w:spacing w:before="60" w:after="60"/>
              <w:jc w:val="right"/>
            </w:pPr>
            <w:r>
              <w:rPr>
                <w:b w:val="0"/>
                <w:sz w:val="18"/>
              </w:rPr>
              <w:t xml:space="preserve">2/20</w:t>
            </w:r>
          </w:p>
        </w:tc>
        <w:tc>
          <w:tcPr>
            <w:vAlign w:val="center"/>
          </w:tcPr>
          <w:p>
            <w:pPr>
              <w:pStyle w:val="Compact"/>
              <w:spacing w:before="60" w:after="60"/>
              <w:jc w:val="right"/>
            </w:pPr>
            <w:r>
              <w:rPr>
                <w:b w:val="0"/>
                <w:sz w:val="18"/>
              </w:rPr>
              <w:t xml:space="preserve">2/20</w:t>
            </w:r>
          </w:p>
        </w:tc>
      </w:tr>
    </w:tbl>
    <w:p>
      <w:pPr>
        <w:pStyle w:val="BodyText"/>
        <w:spacing w:after="160"/>
      </w:pPr>
      <w:r>
        <w:rPr>
          <w:i/>
          <w:iCs/>
        </w:rPr>
        <w:t xml:space="preserve">Table 2. False-selection counts from</w:t>
      </w:r>
      <w:r>
        <w:rPr>
          <w:i/>
          <w:iCs/>
        </w:rPr>
        <w:t xml:space="preserve"> </w:t>
      </w:r>
      <w:hyperlink r:id="rId37">
        <w:r>
          <w:rPr>
            <w:rStyle w:val="Hyperlink"/>
            <w:i/>
            <w:iCs/>
          </w:rPr>
          <w:t xml:space="preserve">null_event_counts.tsv</w:t>
        </w:r>
      </w:hyperlink>
      <w:r>
        <w:rPr>
          <w:i/>
          <w:iCs/>
        </w:rPr>
        <w:t xml:space="preserve">.</w:t>
      </w:r>
    </w:p>
    <w:p>
      <w:pPr>
        <w:pStyle w:val="BodyText"/>
      </w:pPr>
      <w:r>
        <w:t xml:space="preserve">The paired design also quantifies uncertainty in method differences. For shared effects at N = 250, strong borrowing minus Manc-COJO gave an exact-recall difference of 0.225 with MCSE 0.092. This describes variability in the observed contrast without resolving the unmatched-threshold limitation. Full paired estimates are in</w:t>
      </w:r>
      <w:r>
        <w:t xml:space="preserve"> </w:t>
      </w:r>
      <w:hyperlink r:id="rId38">
        <w:r>
          <w:rPr>
            <w:rStyle w:val="Hyperlink"/>
          </w:rPr>
          <w:t xml:space="preserve">paired_differences.tsv</w:t>
        </w:r>
      </w:hyperlink>
      <w:r>
        <w:t xml:space="preserve">.</w:t>
      </w:r>
    </w:p>
    <w:bookmarkEnd w:id="39"/>
    <w:bookmarkEnd w:id="40"/>
    <w:bookmarkStart w:id="42" w:name="discussion"/>
    <w:p>
      <w:pPr>
        <w:pStyle w:val="Heading1"/>
        <w:keepNext/>
        <w:pageBreakBefore/>
      </w:pPr>
      <w:r>
        <w:t xml:space="preserve">Discussion</w:t>
      </w:r>
    </w:p>
    <w:p>
      <w:pPr>
        <w:pStyle w:val="FirstParagraph"/>
      </w:pPr>
      <w:r>
        <w:t xml:space="preserve">The central result is a conditional trade-off: an effect-correlation prior can stabilise estimates when effects are shared, yet pull a smaller-cohort-specific effect toward the larger cohort when effects differ. Increasing the smaller cohort’s sample size improved recovery and estimation but did not remove every consequence of the prior. Because ρ = 0 retains shared inclusion, this comparison isolates effect-correlation assumptions within the hierarchy rather than contrasting pooling with completely independent analyses.</w:t>
      </w:r>
    </w:p>
    <w:p>
      <w:pPr>
        <w:pStyle w:val="BodyText"/>
      </w:pPr>
      <w:r>
        <w:t xml:space="preserve">Comparisons with Manc-COJO require attention to the estimand. Exact causal-variant recall is narrower than recovery of an associated region, and zero-filled selected effects differ from continuous model averaging. Thresholds were not matched for error rates. The observed differences therefore cannot establish that one method is generally more powerful or better calibrated.</w:t>
      </w:r>
    </w:p>
    <w:p>
      <w:pPr>
        <w:pStyle w:val="BodyText"/>
      </w:pPr>
      <w:r>
        <w:t xml:space="preserve">The simulation uses favourable inputs: a tiny locus, known allele alignment, equal allele frequencies, in-sample LD and a Gaussian outcome. Real studies may involve reference mismatch, stratification, relatedness, admixture, overlap and more complex genetic architectures. Fixed priors and plug-in variances omit further uncertainty. Twenty replicates yield coarse estimates, and runtimes at eight variants reflect implementation and input/output overhead rather than scalability.</w:t>
      </w:r>
    </w:p>
    <w:p>
      <w:pPr>
        <w:pStyle w:val="BodyText"/>
      </w:pPr>
      <w:r>
        <w:t xml:space="preserve">A broader evaluation would require more independent replicates, calibrated decision thresholds, realistic LD and frequency variation, external-reference mismatch, ancestry-specific inclusion and formal signal matching. These extensions were not tested here.</w:t>
      </w:r>
    </w:p>
    <w:bookmarkStart w:id="41" w:name="priorities-for-a-stronger-benchmark"/>
    <w:p>
      <w:pPr>
        <w:pStyle w:val="Heading2"/>
        <w:keepNext/>
      </w:pPr>
      <w:r>
        <w:t xml:space="preserve">Priorities for a stronger benchmark</w:t>
      </w:r>
    </w:p>
    <w:p>
      <w:pPr>
        <w:pStyle w:val="FirstParagraph"/>
      </w:pPr>
      <w:r>
        <w:t xml:space="preserve">The following changes would address the main threats to interpretation. They are prospective study recommendations, not completed analyses.</w:t>
      </w:r>
    </w:p>
    <w:tbl>
      <w:tblPr>
        <w:tblStyle w:val="Table"/>
        <w:tblW w:type="pct" w:w="5000"/>
        <w:tblLayout w:type="autofit"/>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on"/>
          <w:cantSplit/>
          <w:tblHeader/>
        </w:trPr>
        <w:tc>
          <w:tcPr>
            <w:vAlign w:val="center"/>
            <w:shd w:fill="E8EFF4"/>
          </w:tcPr>
          <w:p>
            <w:pPr>
              <w:pStyle w:val="Compact"/>
              <w:spacing w:before="60" w:after="60"/>
            </w:pPr>
            <w:r>
              <w:rPr>
                <w:b/>
                <w:sz w:val="18"/>
              </w:rPr>
              <w:t xml:space="preserve">Priority</w:t>
            </w:r>
          </w:p>
        </w:tc>
        <w:tc>
          <w:tcPr>
            <w:vAlign w:val="center"/>
            <w:shd w:fill="E8EFF4"/>
          </w:tcPr>
          <w:p>
            <w:pPr>
              <w:pStyle w:val="Compact"/>
              <w:spacing w:before="60" w:after="60"/>
            </w:pPr>
            <w:r>
              <w:rPr>
                <w:b/>
                <w:sz w:val="18"/>
              </w:rPr>
              <w:t xml:space="preserve">Proposed improvement</w:t>
            </w:r>
          </w:p>
        </w:tc>
        <w:tc>
          <w:tcPr>
            <w:vAlign w:val="center"/>
            <w:shd w:fill="E8EFF4"/>
          </w:tcPr>
          <w:p>
            <w:pPr>
              <w:pStyle w:val="Compact"/>
              <w:spacing w:before="60" w:after="60"/>
            </w:pPr>
            <w:r>
              <w:rPr>
                <w:b/>
                <w:sz w:val="18"/>
              </w:rPr>
              <w:t xml:space="preserve">Evaluation</w:t>
            </w:r>
          </w:p>
        </w:tc>
      </w:tr>
      <w:tr>
        <w:trPr>
          <w:cantSplit/>
        </w:trPr>
        <w:tc>
          <w:tcPr>
            <w:vAlign w:val="center"/>
          </w:tcPr>
          <w:p>
            <w:pPr>
              <w:pStyle w:val="Compact"/>
              <w:spacing w:before="60" w:after="60"/>
            </w:pPr>
            <w:r>
              <w:rPr>
                <w:b w:val="0"/>
                <w:sz w:val="18"/>
              </w:rPr>
              <w:t xml:space="preserve">Comparable decisions</w:t>
            </w:r>
          </w:p>
        </w:tc>
        <w:tc>
          <w:tcPr>
            <w:vAlign w:val="center"/>
          </w:tcPr>
          <w:p>
            <w:pPr>
              <w:pStyle w:val="Compact"/>
              <w:spacing w:before="60" w:after="60"/>
            </w:pPr>
            <w:r>
              <w:rPr>
                <w:b w:val="0"/>
                <w:sz w:val="18"/>
              </w:rPr>
              <w:t xml:space="preserve">Choose operating thresholds on independent null calibration simulations, then freeze them for held-out evaluation</w:t>
            </w:r>
          </w:p>
        </w:tc>
        <w:tc>
          <w:tcPr>
            <w:vAlign w:val="center"/>
          </w:tcPr>
          <w:p>
            <w:pPr>
              <w:pStyle w:val="Compact"/>
              <w:spacing w:before="60" w:after="60"/>
            </w:pPr>
            <w:r>
              <w:rPr>
                <w:b w:val="0"/>
                <w:sz w:val="18"/>
              </w:rPr>
              <w:t xml:space="preserve">Recovery at a common locus-level false-selection rate; report uncertainty in that rate</w:t>
            </w:r>
          </w:p>
        </w:tc>
      </w:tr>
      <w:tr>
        <w:trPr>
          <w:cantSplit/>
        </w:trPr>
        <w:tc>
          <w:tcPr>
            <w:vAlign w:val="center"/>
          </w:tcPr>
          <w:p>
            <w:pPr>
              <w:pStyle w:val="Compact"/>
              <w:spacing w:before="60" w:after="60"/>
            </w:pPr>
            <w:r>
              <w:rPr>
                <w:b w:val="0"/>
                <w:sz w:val="18"/>
              </w:rPr>
              <w:t xml:space="preserve">Simulation precision</w:t>
            </w:r>
          </w:p>
        </w:tc>
        <w:tc>
          <w:tcPr>
            <w:vAlign w:val="center"/>
          </w:tcPr>
          <w:p>
            <w:pPr>
              <w:pStyle w:val="Compact"/>
              <w:spacing w:before="60" w:after="60"/>
            </w:pPr>
            <w:r>
              <w:rPr>
                <w:b w:val="0"/>
                <w:sz w:val="18"/>
              </w:rPr>
              <w:t xml:space="preserve">Increase independent replicates using a prespecified MCSE target</w:t>
            </w:r>
          </w:p>
        </w:tc>
        <w:tc>
          <w:tcPr>
            <w:vAlign w:val="center"/>
          </w:tcPr>
          <w:p>
            <w:pPr>
              <w:pStyle w:val="Compact"/>
              <w:spacing w:before="60" w:after="60"/>
            </w:pPr>
            <w:r>
              <w:rPr>
                <w:b w:val="0"/>
                <w:sz w:val="18"/>
              </w:rPr>
              <w:t xml:space="preserve">For a binary outcome near 0.5, 1,000 replicates give MCSE about 0.016; rare-event calibration needs substantially more</w:t>
            </w:r>
          </w:p>
        </w:tc>
      </w:tr>
      <w:tr>
        <w:trPr>
          <w:cantSplit/>
        </w:trPr>
        <w:tc>
          <w:tcPr>
            <w:vAlign w:val="center"/>
          </w:tcPr>
          <w:p>
            <w:pPr>
              <w:pStyle w:val="Compact"/>
              <w:spacing w:before="60" w:after="60"/>
            </w:pPr>
            <w:r>
              <w:rPr>
                <w:b w:val="0"/>
                <w:sz w:val="18"/>
              </w:rPr>
              <w:t xml:space="preserve">Reference robustness</w:t>
            </w:r>
          </w:p>
        </w:tc>
        <w:tc>
          <w:tcPr>
            <w:vAlign w:val="center"/>
          </w:tcPr>
          <w:p>
            <w:pPr>
              <w:pStyle w:val="Compact"/>
              <w:spacing w:before="60" w:after="60"/>
            </w:pPr>
            <w:r>
              <w:rPr>
                <w:b w:val="0"/>
                <w:sz w:val="18"/>
              </w:rPr>
              <w:t xml:space="preserve">Use separate LD panels with varied size and controlled mismatch</w:t>
            </w:r>
          </w:p>
        </w:tc>
        <w:tc>
          <w:tcPr>
            <w:vAlign w:val="center"/>
          </w:tcPr>
          <w:p>
            <w:pPr>
              <w:pStyle w:val="Compact"/>
              <w:spacing w:before="60" w:after="60"/>
            </w:pPr>
            <w:r>
              <w:rPr>
                <w:b w:val="0"/>
                <w:sz w:val="18"/>
              </w:rPr>
              <w:t xml:space="preserve">Changes in selection, bias and RMSE relative to the in-sample reference</w:t>
            </w:r>
          </w:p>
        </w:tc>
      </w:tr>
      <w:tr>
        <w:trPr>
          <w:cantSplit/>
        </w:trPr>
        <w:tc>
          <w:tcPr>
            <w:vAlign w:val="center"/>
          </w:tcPr>
          <w:p>
            <w:pPr>
              <w:pStyle w:val="Compact"/>
              <w:spacing w:before="60" w:after="60"/>
            </w:pPr>
            <w:r>
              <w:rPr>
                <w:b w:val="0"/>
                <w:sz w:val="18"/>
              </w:rPr>
              <w:t xml:space="preserve">Flexible heterogeneity</w:t>
            </w:r>
          </w:p>
        </w:tc>
        <w:tc>
          <w:tcPr>
            <w:vAlign w:val="center"/>
          </w:tcPr>
          <w:p>
            <w:pPr>
              <w:pStyle w:val="Compact"/>
              <w:spacing w:before="60" w:after="60"/>
            </w:pPr>
            <w:r>
              <w:rPr>
                <w:b w:val="0"/>
                <w:sz w:val="18"/>
              </w:rPr>
              <w:t xml:space="preserve">Evaluate cohort-specific inclusion states, opposite effects and prior-scale sensitivity</w:t>
            </w:r>
          </w:p>
        </w:tc>
        <w:tc>
          <w:tcPr>
            <w:vAlign w:val="center"/>
          </w:tcPr>
          <w:p>
            <w:pPr>
              <w:pStyle w:val="Compact"/>
              <w:spacing w:before="60" w:after="60"/>
            </w:pPr>
            <w:r>
              <w:rPr>
                <w:b w:val="0"/>
                <w:sz w:val="18"/>
              </w:rPr>
              <w:t xml:space="preserve">Cohort-specific recovery, effect bias and interval coverage under prespecified alternatives</w:t>
            </w:r>
          </w:p>
        </w:tc>
      </w:tr>
      <w:tr>
        <w:trPr>
          <w:cantSplit/>
        </w:trPr>
        <w:tc>
          <w:tcPr>
            <w:vAlign w:val="center"/>
          </w:tcPr>
          <w:p>
            <w:pPr>
              <w:pStyle w:val="Compact"/>
              <w:spacing w:before="60" w:after="60"/>
            </w:pPr>
            <w:r>
              <w:rPr>
                <w:b w:val="0"/>
                <w:sz w:val="18"/>
              </w:rPr>
              <w:t xml:space="preserve">Appropriate recovery targets</w:t>
            </w:r>
          </w:p>
        </w:tc>
        <w:tc>
          <w:tcPr>
            <w:vAlign w:val="center"/>
          </w:tcPr>
          <w:p>
            <w:pPr>
              <w:pStyle w:val="Compact"/>
              <w:spacing w:before="60" w:after="60"/>
            </w:pPr>
            <w:r>
              <w:rPr>
                <w:b w:val="0"/>
                <w:sz w:val="18"/>
              </w:rPr>
              <w:t xml:space="preserve">Assess both exact variants and LD-equivalent signals; include an established Bayesian comparator</w:t>
            </w:r>
          </w:p>
        </w:tc>
        <w:tc>
          <w:tcPr>
            <w:vAlign w:val="center"/>
          </w:tcPr>
          <w:p>
            <w:pPr>
              <w:pStyle w:val="Compact"/>
              <w:spacing w:before="60" w:after="60"/>
            </w:pPr>
            <w:r>
              <w:rPr>
                <w:b w:val="0"/>
                <w:sz w:val="18"/>
              </w:rPr>
              <w:t xml:space="preserve">Signal matching with a predefined LD rule, alongside exact recall and false selections</w:t>
            </w:r>
          </w:p>
        </w:tc>
      </w:tr>
    </w:tbl>
    <w:p>
      <w:pPr>
        <w:pStyle w:val="BodyText"/>
      </w:pPr>
      <w:r>
        <w:t xml:space="preserve">Calibration should target a feasible locus-level operating point for this design, rather than imply that a modest simulation can resolve a 5 × 10⁻⁸ error rate. Training or tuning simulations must remain separate from the datasets used to report final performance.</w:t>
      </w:r>
    </w:p>
    <w:bookmarkEnd w:id="41"/>
    <w:bookmarkEnd w:id="42"/>
    <w:bookmarkStart w:id="43" w:name="conclusion"/>
    <w:p>
      <w:pPr>
        <w:pStyle w:val="Heading1"/>
        <w:keepNext/>
      </w:pPr>
      <w:r>
        <w:t xml:space="preserve">Conclusion</w:t>
      </w:r>
    </w:p>
    <w:p>
      <w:pPr>
        <w:pStyle w:val="FirstParagraph"/>
      </w:pPr>
      <w:r>
        <w:t xml:space="preserve">The usefulness of cross-population effect borrowing depended on effect similarity and information in the smaller cohort. Recovery, estimation error and ancestry-specific shrinkage offered complementary evidence. This reproducible synthetic study supports examination of modelling assumptions and computational behaviour, not biological conclusions about real populations or a general ranking of methods.</w:t>
      </w:r>
    </w:p>
    <w:bookmarkEnd w:id="43"/>
    <w:bookmarkStart w:id="50" w:name="reproducibility"/>
    <w:p>
      <w:pPr>
        <w:pStyle w:val="Heading1"/>
        <w:keepNext/>
        <w:pageBreakBefore/>
      </w:pPr>
      <w:r>
        <w:t xml:space="preserve">Reproducibility</w:t>
      </w:r>
    </w:p>
    <w:p>
      <w:pPr>
        <w:pStyle w:val="FirstParagraph"/>
      </w:pPr>
      <w:r>
        <w:t xml:space="preserve">The repository includes source code, 1,200 replicate-level method/threshold records, 3,840 Bayesian variant records, summaries, figures and the</w:t>
      </w:r>
      <w:r>
        <w:t xml:space="preserve"> </w:t>
      </w:r>
      <w:hyperlink r:id="rId44">
        <w:r>
          <w:rPr>
            <w:rStyle w:val="Hyperlink"/>
          </w:rPr>
          <w:t xml:space="preserve">Word manuscript</w:t>
        </w:r>
      </w:hyperlink>
      <w:r>
        <w:t xml:space="preserve">. Five reporting combinations were evaluated per dataset: Manc-COJO and two Bayesian correlations at two thresholds. Bayesian thresholds share the same fitted posterior. Generated inputs, detailed logs, third-party executables and machine-specific paths are excluded from Git.</w:t>
      </w:r>
    </w:p>
    <w:p>
      <w:pPr>
        <w:pStyle w:val="BodyText"/>
      </w:pPr>
      <w:r>
        <w:t xml:space="preserve">The recorded analysis used Python 3.12.14, NumPy 2.3.5, Manc-COJO v1.1.0 and R 4.3.3 for base summaries. The original figures were authored with R 4.5.1. The current Word report is rendered from this README using Pandoc and python-docx, preserving native editable equations and the order of interpretations and figures. See</w:t>
      </w:r>
      <w:r>
        <w:t xml:space="preserve"> </w:t>
      </w:r>
      <w:hyperlink r:id="rId45">
        <w:r>
          <w:rPr>
            <w:rStyle w:val="Hyperlink"/>
          </w:rPr>
          <w:t xml:space="preserve">analysis provenance</w:t>
        </w:r>
      </w:hyperlink>
      <w:r>
        <w:t xml:space="preserve">,</w:t>
      </w:r>
      <w:r>
        <w:t xml:space="preserve"> </w:t>
      </w:r>
      <w:hyperlink r:id="rId46">
        <w:r>
          <w:rPr>
            <w:rStyle w:val="Hyperlink"/>
          </w:rPr>
          <w:t xml:space="preserve">report provenance</w:t>
        </w:r>
      </w:hyperlink>
      <w:r>
        <w:t xml:space="preserve">,</w:t>
      </w:r>
      <w:r>
        <w:t xml:space="preserve"> </w:t>
      </w:r>
      <w:hyperlink r:id="rId47">
        <w:r>
          <w:rPr>
            <w:rStyle w:val="Hyperlink"/>
          </w:rPr>
          <w:t xml:space="preserve">requirements.txt</w:t>
        </w:r>
      </w:hyperlink>
      <w:r>
        <w:t xml:space="preserve">,</w:t>
      </w:r>
      <w:r>
        <w:t xml:space="preserve"> </w:t>
      </w:r>
      <w:hyperlink r:id="rId16">
        <w:r>
          <w:rPr>
            <w:rStyle w:val="Hyperlink"/>
          </w:rPr>
          <w:t xml:space="preserve">Manc-COJO provenance</w:t>
        </w:r>
      </w:hyperlink>
      <w:r>
        <w:t xml:space="preserve"> </w:t>
      </w:r>
      <w:r>
        <w:t xml:space="preserve">and</w:t>
      </w:r>
      <w:r>
        <w:t xml:space="preserve"> </w:t>
      </w:r>
      <w:hyperlink r:id="rId48">
        <w:r>
          <w:rPr>
            <w:rStyle w:val="Hyperlink"/>
          </w:rPr>
          <w:t xml:space="preserve">public checksums</w:t>
        </w:r>
      </w:hyperlink>
      <w:r>
        <w:t xml:space="preserve">.</w:t>
      </w:r>
    </w:p>
    <w:p>
      <w:pPr>
        <w:pStyle w:val="BodyText"/>
      </w:pPr>
      <w:r>
        <w:t xml:space="preserve">Use an existing Python environment with the dependencies in</w:t>
      </w:r>
      <w:r>
        <w:t xml:space="preserve"> </w:t>
      </w:r>
      <w:r>
        <w:rPr>
          <w:rStyle w:val="VerbatimChar"/>
        </w:rPr>
        <w:t xml:space="preserve">requirements.txt</w:t>
      </w:r>
      <w:r>
        <w:t xml:space="preserve">, Pandoc (also distributed with Quarto), and R. Regenerating the publication figures additionally requires</w:t>
      </w:r>
      <w:r>
        <w:t xml:space="preserve"> </w:t>
      </w:r>
      <w:r>
        <w:rPr>
          <w:rStyle w:val="VerbatimChar"/>
        </w:rPr>
        <w:t xml:space="preserve">ggplot2</w:t>
      </w:r>
      <w:r>
        <w:t xml:space="preserve"> </w:t>
      </w:r>
      <w:r>
        <w:t xml:space="preserve">and</w:t>
      </w:r>
      <w:r>
        <w:t xml:space="preserve"> </w:t>
      </w:r>
      <w:r>
        <w:rPr>
          <w:rStyle w:val="VerbatimChar"/>
        </w:rPr>
        <w:t xml:space="preserve">jsonlite</w:t>
      </w:r>
      <w:r>
        <w:t xml:space="preserve">. Obtain Manc-COJO from the</w:t>
      </w:r>
      <w:r>
        <w:t xml:space="preserve"> </w:t>
      </w:r>
      <w:hyperlink r:id="rId49">
        <w:r>
          <w:rPr>
            <w:rStyle w:val="Hyperlink"/>
          </w:rPr>
          <w:t xml:space="preserve">official release</w:t>
        </w:r>
      </w:hyperlink>
      <w:r>
        <w:t xml:space="preserve">. Scripts do not install dependencies. From the repository root:</w:t>
      </w:r>
    </w:p>
    <w:p>
      <w:pPr>
        <w:pStyle w:val="SourceCode"/>
      </w:pPr>
      <w:r>
        <w:rPr>
          <w:rStyle w:val="ExtensionTok"/>
        </w:rPr>
        <w:t xml:space="preserve">python</w:t>
      </w:r>
      <w:r>
        <w:rPr>
          <w:rStyle w:val="NormalTok"/>
        </w:rPr>
        <w:t xml:space="preserve"> scripts/validate.py</w:t>
      </w:r>
      <w:r>
        <w:br/>
      </w:r>
      <w:r>
        <w:br/>
      </w:r>
      <w:r>
        <w:rPr>
          <w:rStyle w:val="CommentTok"/>
        </w:rPr>
        <w:t xml:space="preserve"># Linux executable with Linux Python</w:t>
      </w:r>
      <w:r>
        <w:br/>
      </w:r>
      <w:r>
        <w:rPr>
          <w:rStyle w:val="ExtensionTok"/>
        </w:rPr>
        <w:t xml:space="preserve">python</w:t>
      </w:r>
      <w:r>
        <w:rPr>
          <w:rStyle w:val="NormalTok"/>
        </w:rPr>
        <w:t xml:space="preserve"> scripts/simulate_compare.py </w:t>
      </w:r>
      <w:r>
        <w:rPr>
          <w:rStyle w:val="AttributeTok"/>
        </w:rPr>
        <w:t xml:space="preserve">--replicates</w:t>
      </w:r>
      <w:r>
        <w:rPr>
          <w:rStyle w:val="NormalTok"/>
        </w:rPr>
        <w:t xml:space="preserve"> 20 </w:t>
      </w:r>
      <w:r>
        <w:rPr>
          <w:rStyle w:val="AttributeTok"/>
        </w:rPr>
        <w:t xml:space="preserve">--seed</w:t>
      </w:r>
      <w:r>
        <w:rPr>
          <w:rStyle w:val="NormalTok"/>
        </w:rPr>
        <w:t xml:space="preserve"> 20261026 </w:t>
      </w:r>
      <w:r>
        <w:rPr>
          <w:rStyle w:val="AttributeTok"/>
        </w:rPr>
        <w:t xml:space="preserve">--manc</w:t>
      </w:r>
      <w:r>
        <w:rPr>
          <w:rStyle w:val="NormalTok"/>
        </w:rPr>
        <w:t xml:space="preserve"> tools/manc_cojo</w:t>
      </w:r>
      <w:r>
        <w:br/>
      </w:r>
      <w:r>
        <w:br/>
      </w:r>
      <w:r>
        <w:rPr>
          <w:rStyle w:val="CommentTok"/>
        </w:rPr>
        <w:t xml:space="preserve"># On Windows, use this simulation command instead</w:t>
      </w:r>
      <w:r>
        <w:br/>
      </w:r>
      <w:r>
        <w:rPr>
          <w:rStyle w:val="CommentTok"/>
        </w:rPr>
        <w:t xml:space="preserve"># python scripts/simulate_compare.py --replicates 20 --seed 20261026 --manc tools/manc_cojo_win.exe</w:t>
      </w:r>
      <w:r>
        <w:br/>
      </w:r>
      <w:r>
        <w:br/>
      </w:r>
      <w:r>
        <w:rPr>
          <w:rStyle w:val="ExtensionTok"/>
        </w:rPr>
        <w:t xml:space="preserve">Rscript</w:t>
      </w:r>
      <w:r>
        <w:rPr>
          <w:rStyle w:val="NormalTok"/>
        </w:rPr>
        <w:t xml:space="preserve"> scripts/report.R</w:t>
      </w:r>
      <w:r>
        <w:br/>
      </w:r>
      <w:r>
        <w:rPr>
          <w:rStyle w:val="ExtensionTok"/>
        </w:rPr>
        <w:t xml:space="preserve">Rscript</w:t>
      </w:r>
      <w:r>
        <w:rPr>
          <w:rStyle w:val="NormalTok"/>
        </w:rPr>
        <w:t xml:space="preserve"> scripts/build_figures.R</w:t>
      </w:r>
      <w:r>
        <w:br/>
      </w:r>
      <w:r>
        <w:rPr>
          <w:rStyle w:val="ExtensionTok"/>
        </w:rPr>
        <w:t xml:space="preserve">python</w:t>
      </w:r>
      <w:r>
        <w:rPr>
          <w:rStyle w:val="NormalTok"/>
        </w:rPr>
        <w:t xml:space="preserve"> scripts/build_word_report.py</w:t>
      </w:r>
      <w:r>
        <w:br/>
      </w:r>
      <w:r>
        <w:rPr>
          <w:rStyle w:val="ExtensionTok"/>
        </w:rPr>
        <w:t xml:space="preserve">python</w:t>
      </w:r>
      <w:r>
        <w:rPr>
          <w:rStyle w:val="NormalTok"/>
        </w:rPr>
        <w:t xml:space="preserve"> scripts/audit_results.py</w:t>
      </w:r>
    </w:p>
    <w:p>
      <w:pPr>
        <w:pStyle w:val="FirstParagraph"/>
      </w:pPr>
      <w:r>
        <w:t xml:space="preserve">For a report-only update, run</w:t>
      </w:r>
      <w:r>
        <w:t xml:space="preserve"> </w:t>
      </w:r>
      <w:r>
        <w:rPr>
          <w:rStyle w:val="VerbatimChar"/>
        </w:rPr>
        <w:t xml:space="preserve">python scripts/build_word_report.py --pandoc /path/to/pandoc</w:t>
      </w:r>
      <w:r>
        <w:t xml:space="preserve"> </w:t>
      </w:r>
      <w:r>
        <w:t xml:space="preserve">against the saved results and figures. The R entry point</w:t>
      </w:r>
      <w:r>
        <w:t xml:space="preserve"> </w:t>
      </w:r>
      <w:r>
        <w:rPr>
          <w:rStyle w:val="VerbatimChar"/>
        </w:rPr>
        <w:t xml:space="preserve">Rscript scripts/build_word_report.R</w:t>
      </w:r>
      <w:r>
        <w:t xml:space="preserve"> </w:t>
      </w:r>
      <w:r>
        <w:t xml:space="preserve">remains available; set</w:t>
      </w:r>
      <w:r>
        <w:t xml:space="preserve"> </w:t>
      </w:r>
      <w:r>
        <w:rPr>
          <w:rStyle w:val="VerbatimChar"/>
        </w:rPr>
        <w:t xml:space="preserve">PYTHON</w:t>
      </w:r>
      <w:r>
        <w:t xml:space="preserve"> </w:t>
      </w:r>
      <w:r>
        <w:t xml:space="preserve">and</w:t>
      </w:r>
      <w:r>
        <w:t xml:space="preserve"> </w:t>
      </w:r>
      <w:r>
        <w:rPr>
          <w:rStyle w:val="VerbatimChar"/>
        </w:rPr>
        <w:t xml:space="preserve">PANDOC</w:t>
      </w:r>
      <w:r>
        <w:t xml:space="preserve"> </w:t>
      </w:r>
      <w:r>
        <w:t xml:space="preserve">if those executables are not on PATH. Editing the README and rebuilding the Word report keeps their scientific narrative synchronised without rerunning the analysis.</w:t>
      </w:r>
    </w:p>
    <w:p>
      <w:pPr>
        <w:pStyle w:val="BodyText"/>
      </w:pPr>
      <w:r>
        <w:t xml:space="preserve">Simulation commands replace generated inputs and results in this checkout. Omitting</w:t>
      </w:r>
      <w:r>
        <w:t xml:space="preserve"> </w:t>
      </w:r>
      <w:r>
        <w:rPr>
          <w:rStyle w:val="VerbatimChar"/>
        </w:rPr>
        <w:t xml:space="preserve">--manc</w:t>
      </w:r>
      <w:r>
        <w:t xml:space="preserve"> </w:t>
      </w:r>
      <w:r>
        <w:t xml:space="preserve">produces status</w:t>
      </w:r>
      <w:r>
        <w:t xml:space="preserve"> </w:t>
      </w:r>
      <w:r>
        <w:rPr>
          <w:rStyle w:val="VerbatimChar"/>
        </w:rPr>
        <w:t xml:space="preserve">BAYES_ONLY_MANC_NOT_RUN</w:t>
      </w:r>
      <w:r>
        <w:t xml:space="preserve">, not a completed comparison. To add Manc-COJO to existing generated datasets, run</w:t>
      </w:r>
      <w:r>
        <w:t xml:space="preserve"> </w:t>
      </w:r>
      <w:r>
        <w:rPr>
          <w:rStyle w:val="VerbatimChar"/>
        </w:rPr>
        <w:t xml:space="preserve">python scripts/run_manc_existing.py --manc tools/manc_cojo_win.exe</w:t>
      </w:r>
      <w:r>
        <w:t xml:space="preserve"> </w:t>
      </w:r>
      <w:r>
        <w:t xml:space="preserve">on Windows, or supply the Linux executable on Linux, then regenerate summaries and the Word report.</w:t>
      </w:r>
    </w:p>
    <w:p>
      <w:pPr>
        <w:pStyle w:val="BodyText"/>
      </w:pPr>
      <w:r>
        <w:rPr>
          <w:rStyle w:val="VerbatimChar"/>
        </w:rPr>
        <w:t xml:space="preserve">validate.py</w:t>
      </w:r>
      <w:r>
        <w:t xml:space="preserve"> </w:t>
      </w:r>
      <w:r>
        <w:t xml:space="preserve">checks BED dosage encoding, summary-likelihood reconstruction, an analytic posterior calculation and cohort-swap symmetry. The recorded full audit checks result completeness, finite errors, PIP bounds, allele orientation, selected joint P-values and actual executable logs.</w:t>
      </w:r>
      <w:r>
        <w:t xml:space="preserve"> </w:t>
      </w:r>
      <w:r>
        <w:rPr>
          <w:rStyle w:val="VerbatimChar"/>
        </w:rPr>
        <w:t xml:space="preserve">audit_results.py</w:t>
      </w:r>
      <w:r>
        <w:t xml:space="preserve"> </w:t>
      </w:r>
      <w:r>
        <w:t xml:space="preserve">requires regenerated local</w:t>
      </w:r>
      <w:r>
        <w:t xml:space="preserve"> </w:t>
      </w:r>
      <w:r>
        <w:rPr>
          <w:rStyle w:val="VerbatimChar"/>
        </w:rPr>
        <w:t xml:space="preserve">results/config.json</w:t>
      </w:r>
      <w:r>
        <w:t xml:space="preserve"> </w:t>
      </w:r>
      <w:r>
        <w:t xml:space="preserve">and per-dataset logs; it is not a checksum-only check of a fresh public clone. These checks assess implementation, not real-data validity.</w:t>
      </w:r>
    </w:p>
    <w:bookmarkEnd w:id="50"/>
    <w:bookmarkStart w:id="56" w:name="references"/>
    <w:p>
      <w:pPr>
        <w:pStyle w:val="Heading1"/>
        <w:keepNext/>
      </w:pPr>
      <w:r>
        <w:t xml:space="preserve">References</w:t>
      </w:r>
    </w:p>
    <w:p>
      <w:pPr>
        <w:pStyle w:val="Compact"/>
        <w:numPr>
          <w:ilvl w:val="0"/>
          <w:numId w:val="1001"/>
        </w:numPr>
      </w:pPr>
      <w:hyperlink r:id="rId51">
        <w:r>
          <w:rPr>
            <w:rStyle w:val="Hyperlink"/>
          </w:rPr>
          <w:t xml:space="preserve">Manc-COJO methodological paper</w:t>
        </w:r>
      </w:hyperlink>
      <w:r>
        <w:t xml:space="preserve">.</w:t>
      </w:r>
    </w:p>
    <w:p>
      <w:pPr>
        <w:pStyle w:val="Compact"/>
        <w:numPr>
          <w:ilvl w:val="0"/>
          <w:numId w:val="1001"/>
        </w:numPr>
      </w:pPr>
      <w:hyperlink r:id="rId52">
        <w:r>
          <w:rPr>
            <w:rStyle w:val="Hyperlink"/>
          </w:rPr>
          <w:t xml:space="preserve">Official Manc-COJO tutorial</w:t>
        </w:r>
      </w:hyperlink>
      <w:r>
        <w:t xml:space="preserve"> </w:t>
      </w:r>
      <w:r>
        <w:t xml:space="preserve">and</w:t>
      </w:r>
      <w:r>
        <w:t xml:space="preserve"> </w:t>
      </w:r>
      <w:hyperlink r:id="rId53">
        <w:r>
          <w:rPr>
            <w:rStyle w:val="Hyperlink"/>
          </w:rPr>
          <w:t xml:space="preserve">command options</w:t>
        </w:r>
      </w:hyperlink>
      <w:r>
        <w:t xml:space="preserve">.</w:t>
      </w:r>
    </w:p>
    <w:p>
      <w:pPr>
        <w:pStyle w:val="Compact"/>
        <w:numPr>
          <w:ilvl w:val="0"/>
          <w:numId w:val="1001"/>
        </w:numPr>
      </w:pPr>
      <w:hyperlink r:id="rId54">
        <w:r>
          <w:rPr>
            <w:rStyle w:val="Hyperlink"/>
          </w:rPr>
          <w:t xml:space="preserve">Official Manc-COJO source and releases</w:t>
        </w:r>
      </w:hyperlink>
      <w:r>
        <w:t xml:space="preserve">.</w:t>
      </w:r>
    </w:p>
    <w:p>
      <w:pPr>
        <w:pStyle w:val="Compact"/>
        <w:numPr>
          <w:ilvl w:val="0"/>
          <w:numId w:val="1001"/>
        </w:numPr>
      </w:pPr>
      <w:hyperlink r:id="rId55">
        <w:r>
          <w:rPr>
            <w:rStyle w:val="Hyperlink"/>
          </w:rPr>
          <w:t xml:space="preserve">MESuSiE</w:t>
        </w:r>
      </w:hyperlink>
      <w:r>
        <w:t xml:space="preserve">, a related established Bayesian approach; the custom hierarchy here does not implement this method.</w:t>
      </w:r>
    </w:p>
    <w:bookmarkEnd w:id="56"/>
    <w:sectPr w:rsidR="00FC693F" w:rsidRPr="0006063C" w:rsidSect="00034616">
      <w:pgSz w:h="16834" w:w="11909"/>
      <w:pgMar w:bottom="1008" w:footer="720" w:gutter="0" w:header="720" w:left="1037" w:right="1037"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0"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100" w:line="250" w:lineRule="auto"/>
    </w:pPr>
    <w:rPr>
      <w:rFonts w:ascii="Calibri" w:hAnsi="Calibri"/>
      <w:color w:val="000000"/>
      <w:sz w:val="22"/>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100" w:line="250" w:lineRule="auto"/>
    </w:pPr>
    <w:rPr>
      <w:rFonts w:ascii="Calibri" w:hAnsi="Calibri"/>
      <w:color w:val="000000"/>
      <w:sz w:val="22"/>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200" w:line="250"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00" w:before="200" w:line="250" w:lineRule="auto"/>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100" w:before="200" w:line="250" w:lineRule="auto"/>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100" w:before="200" w:line="250" w:lineRule="auto"/>
      <w:outlineLvl w:val="3"/>
    </w:pPr>
    <w:rPr>
      <w:rFonts w:ascii="Calibri" w:asciiTheme="majorHAnsi" w:cstheme="majorBidi" w:eastAsiaTheme="majorEastAsia" w:hAnsi="Calibri" w:hAnsiTheme="majorHAnsi"/>
      <w:b/>
      <w:bCs/>
      <w:i/>
      <w:iCs/>
      <w:color w:val="000000"/>
      <w:sz w:val="22"/>
    </w:rPr>
  </w:style>
  <w:style w:styleId="Heading5" w:type="paragraph">
    <w:name w:val="heading 5"/>
    <w:basedOn w:val="Normal"/>
    <w:next w:val="Normal"/>
    <w:link w:val="Heading5Char"/>
    <w:uiPriority w:val="9"/>
    <w:semiHidden/>
    <w:unhideWhenUsed/>
    <w:qFormat/>
    <w:rsid w:val="00FC693F"/>
    <w:pPr>
      <w:keepNext/>
      <w:keepLines/>
      <w:spacing w:after="100" w:before="200" w:line="250" w:lineRule="auto"/>
      <w:outlineLvl w:val="4"/>
    </w:pPr>
    <w:rPr>
      <w:rFonts w:ascii="Calibri" w:asciiTheme="majorHAnsi" w:cstheme="majorBidi" w:eastAsiaTheme="majorEastAsia" w:hAnsi="Calibri" w:hAnsiTheme="majorHAnsi"/>
      <w:color w:val="000000"/>
      <w:sz w:val="22"/>
    </w:rPr>
  </w:style>
  <w:style w:styleId="Heading6" w:type="paragraph">
    <w:name w:val="heading 6"/>
    <w:basedOn w:val="Normal"/>
    <w:next w:val="Normal"/>
    <w:link w:val="Heading6Char"/>
    <w:uiPriority w:val="9"/>
    <w:semiHidden/>
    <w:unhideWhenUsed/>
    <w:qFormat/>
    <w:rsid w:val="00FC693F"/>
    <w:pPr>
      <w:keepNext/>
      <w:keepLines/>
      <w:spacing w:after="100" w:before="200" w:line="250" w:lineRule="auto"/>
      <w:outlineLvl w:val="5"/>
    </w:pPr>
    <w:rPr>
      <w:rFonts w:ascii="Calibri" w:asciiTheme="majorHAnsi" w:cstheme="majorBidi" w:eastAsiaTheme="majorEastAsia" w:hAnsi="Calibri" w:hAnsiTheme="majorHAnsi"/>
      <w:i/>
      <w:iCs/>
      <w:color w:val="000000"/>
      <w:sz w:val="22"/>
    </w:rPr>
  </w:style>
  <w:style w:styleId="Heading7" w:type="paragraph">
    <w:name w:val="heading 7"/>
    <w:basedOn w:val="Normal"/>
    <w:next w:val="Normal"/>
    <w:link w:val="Heading7Char"/>
    <w:uiPriority w:val="9"/>
    <w:semiHidden/>
    <w:unhideWhenUsed/>
    <w:qFormat/>
    <w:rsid w:val="00FC693F"/>
    <w:pPr>
      <w:keepNext/>
      <w:keepLines/>
      <w:spacing w:after="100" w:before="200" w:line="250" w:lineRule="auto"/>
      <w:outlineLvl w:val="6"/>
    </w:pPr>
    <w:rPr>
      <w:rFonts w:ascii="Calibri" w:asciiTheme="majorHAnsi" w:cstheme="majorBidi" w:eastAsiaTheme="majorEastAsia" w:hAnsi="Calibri" w:hAnsiTheme="majorHAnsi"/>
      <w:i/>
      <w:iCs/>
      <w:color w:val="000000"/>
      <w:sz w:val="22"/>
    </w:rPr>
  </w:style>
  <w:style w:styleId="Heading8" w:type="paragraph">
    <w:name w:val="heading 8"/>
    <w:basedOn w:val="Normal"/>
    <w:next w:val="Normal"/>
    <w:link w:val="Heading8Char"/>
    <w:uiPriority w:val="9"/>
    <w:semiHidden/>
    <w:unhideWhenUsed/>
    <w:qFormat/>
    <w:rsid w:val="00FC693F"/>
    <w:pPr>
      <w:keepNext/>
      <w:keepLines/>
      <w:spacing w:after="100" w:before="200" w:line="250" w:lineRule="auto"/>
      <w:outlineLvl w:val="7"/>
    </w:pPr>
    <w:rPr>
      <w:rFonts w:ascii="Calibri" w:asciiTheme="majorHAnsi" w:cstheme="majorBidi" w:eastAsiaTheme="majorEastAsia" w:hAnsi="Calibri" w:hAnsiTheme="majorHAnsi"/>
      <w:color w:val="000000"/>
      <w:sz w:val="22"/>
      <w:szCs w:val="20"/>
    </w:rPr>
  </w:style>
  <w:style w:styleId="Heading9" w:type="paragraph">
    <w:name w:val="heading 9"/>
    <w:basedOn w:val="Normal"/>
    <w:next w:val="Normal"/>
    <w:link w:val="Heading9Char"/>
    <w:uiPriority w:val="9"/>
    <w:semiHidden/>
    <w:unhideWhenUsed/>
    <w:qFormat/>
    <w:rsid w:val="00FC693F"/>
    <w:pPr>
      <w:keepNext/>
      <w:keepLines/>
      <w:spacing w:after="100" w:before="200" w:line="250" w:lineRule="auto"/>
      <w:outlineLvl w:val="8"/>
    </w:pPr>
    <w:rPr>
      <w:rFonts w:ascii="Calibri" w:asciiTheme="majorHAnsi" w:cstheme="majorBidi" w:eastAsiaTheme="majorEastAsia" w:hAnsi="Calibri" w:hAnsiTheme="majorHAnsi"/>
      <w:i/>
      <w:iCs/>
      <w:color w:val="000000"/>
      <w:sz w:val="22"/>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100" w:line="250" w:lineRule="auto"/>
    </w:pPr>
    <w:rPr>
      <w:rFonts w:ascii="Calibri" w:hAnsi="Calibri"/>
      <w:color w:val="000000"/>
      <w:sz w:val="22"/>
    </w:r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00" w:before="0" w:line="250" w:lineRule="auto"/>
      <w:contextualSpacing/>
    </w:pPr>
    <w:rPr>
      <w:rFonts w:ascii="Calibri" w:asciiTheme="majorHAnsi" w:cstheme="majorBidi" w:eastAsiaTheme="majorEastAsia" w:hAnsi="Calibri" w:hAnsiTheme="majorHAnsi"/>
      <w:color w:val="000000"/>
      <w:spacing w:val="5"/>
      <w:kern w:val="28"/>
      <w:sz w:val="4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00" w:before="0" w:line="250" w:lineRule="auto"/>
    </w:pPr>
    <w:rPr>
      <w:rFonts w:ascii="Calibri" w:asciiTheme="majorHAnsi" w:cstheme="majorBidi" w:eastAsiaTheme="majorEastAsia" w:hAnsi="Calibri"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100" w:line="250" w:lineRule="auto"/>
      <w:ind w:left="720"/>
      <w:contextualSpacing/>
    </w:pPr>
    <w:rPr>
      <w:rFonts w:ascii="Calibri" w:hAnsi="Calibri"/>
      <w:color w:val="000000"/>
      <w:sz w:val="22"/>
    </w:rPr>
  </w:style>
  <w:style w:styleId="BodyText" w:type="paragraph">
    <w:name w:val="Body Text"/>
    <w:basedOn w:val="Normal"/>
    <w:link w:val="BodyTextChar"/>
    <w:uiPriority w:val="99"/>
    <w:unhideWhenUsed/>
    <w:rsid w:val="00AA1D8D"/>
    <w:pPr>
      <w:spacing w:after="100" w:line="250" w:lineRule="auto"/>
    </w:pPr>
    <w:rPr>
      <w:rFonts w:ascii="Calibri" w:hAnsi="Calibri"/>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00" w:line="250" w:lineRule="auto"/>
    </w:pPr>
    <w:rPr>
      <w:rFonts w:ascii="Calibri" w:hAnsi="Calibri"/>
      <w:color w:val="000000"/>
      <w:sz w:val="22"/>
    </w:r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00" w:line="250" w:lineRule="auto"/>
    </w:pPr>
    <w:rPr>
      <w:rFonts w:ascii="Calibri" w:hAnsi="Calibri"/>
      <w:color w:val="000000"/>
      <w:sz w:val="22"/>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spacing w:after="100" w:line="250" w:lineRule="auto"/>
      <w:ind w:hanging="360" w:left="360"/>
      <w:contextualSpacing/>
    </w:pPr>
    <w:rPr>
      <w:rFonts w:ascii="Calibri" w:hAnsi="Calibri"/>
      <w:color w:val="000000"/>
      <w:sz w:val="22"/>
    </w:rPr>
  </w:style>
  <w:style w:styleId="List2" w:type="paragraph">
    <w:name w:val="List 2"/>
    <w:basedOn w:val="Normal"/>
    <w:uiPriority w:val="99"/>
    <w:unhideWhenUsed/>
    <w:rsid w:val="00326F90"/>
    <w:pPr>
      <w:spacing w:after="100" w:line="250" w:lineRule="auto"/>
      <w:ind w:hanging="360" w:left="720"/>
      <w:contextualSpacing/>
    </w:pPr>
    <w:rPr>
      <w:rFonts w:ascii="Calibri" w:hAnsi="Calibri"/>
      <w:color w:val="000000"/>
      <w:sz w:val="22"/>
    </w:rPr>
  </w:style>
  <w:style w:styleId="List3" w:type="paragraph">
    <w:name w:val="List 3"/>
    <w:basedOn w:val="Normal"/>
    <w:uiPriority w:val="99"/>
    <w:unhideWhenUsed/>
    <w:rsid w:val="00326F90"/>
    <w:pPr>
      <w:spacing w:after="100" w:line="250" w:lineRule="auto"/>
      <w:ind w:hanging="360" w:left="1080"/>
      <w:contextualSpacing/>
    </w:pPr>
    <w:rPr>
      <w:rFonts w:ascii="Calibri" w:hAnsi="Calibri"/>
      <w:color w:val="000000"/>
      <w:sz w:val="22"/>
    </w:rPr>
  </w:style>
  <w:style w:styleId="ListBullet" w:type="paragraph">
    <w:name w:val="List Bullet"/>
    <w:basedOn w:val="Normal"/>
    <w:uiPriority w:val="99"/>
    <w:unhideWhenUsed/>
    <w:rsid w:val="00326F90"/>
    <w:pPr>
      <w:numPr>
        <w:numId w:val="1"/>
      </w:numPr>
      <w:spacing w:after="100" w:line="250" w:lineRule="auto"/>
      <w:contextualSpacing/>
    </w:pPr>
    <w:rPr>
      <w:rFonts w:ascii="Calibri" w:hAnsi="Calibri"/>
      <w:color w:val="000000"/>
      <w:sz w:val="22"/>
    </w:rPr>
  </w:style>
  <w:style w:styleId="ListBullet2" w:type="paragraph">
    <w:name w:val="List Bullet 2"/>
    <w:basedOn w:val="Normal"/>
    <w:uiPriority w:val="99"/>
    <w:unhideWhenUsed/>
    <w:rsid w:val="00326F90"/>
    <w:pPr>
      <w:numPr>
        <w:numId w:val="2"/>
      </w:numPr>
      <w:spacing w:after="100" w:line="250" w:lineRule="auto"/>
      <w:contextualSpacing/>
    </w:pPr>
    <w:rPr>
      <w:rFonts w:ascii="Calibri" w:hAnsi="Calibri"/>
      <w:color w:val="000000"/>
      <w:sz w:val="22"/>
    </w:rPr>
  </w:style>
  <w:style w:styleId="ListBullet3" w:type="paragraph">
    <w:name w:val="List Bullet 3"/>
    <w:basedOn w:val="Normal"/>
    <w:uiPriority w:val="99"/>
    <w:unhideWhenUsed/>
    <w:rsid w:val="00326F90"/>
    <w:pPr>
      <w:numPr>
        <w:numId w:val="3"/>
      </w:numPr>
      <w:spacing w:after="100" w:line="250" w:lineRule="auto"/>
      <w:contextualSpacing/>
    </w:pPr>
    <w:rPr>
      <w:rFonts w:ascii="Calibri" w:hAnsi="Calibri"/>
      <w:color w:val="000000"/>
      <w:sz w:val="22"/>
    </w:rPr>
  </w:style>
  <w:style w:styleId="ListNumber" w:type="paragraph">
    <w:name w:val="List Number"/>
    <w:basedOn w:val="Normal"/>
    <w:uiPriority w:val="99"/>
    <w:unhideWhenUsed/>
    <w:rsid w:val="00326F90"/>
    <w:pPr>
      <w:numPr>
        <w:numId w:val="5"/>
      </w:numPr>
      <w:spacing w:after="100" w:line="250" w:lineRule="auto"/>
      <w:contextualSpacing/>
    </w:pPr>
    <w:rPr>
      <w:rFonts w:ascii="Calibri" w:hAnsi="Calibri"/>
      <w:color w:val="000000"/>
      <w:sz w:val="22"/>
    </w:rPr>
  </w:style>
  <w:style w:styleId="ListNumber2" w:type="paragraph">
    <w:name w:val="List Number 2"/>
    <w:basedOn w:val="Normal"/>
    <w:uiPriority w:val="99"/>
    <w:unhideWhenUsed/>
    <w:rsid w:val="0029639D"/>
    <w:pPr>
      <w:numPr>
        <w:numId w:val="6"/>
      </w:numPr>
      <w:spacing w:after="100" w:line="250" w:lineRule="auto"/>
      <w:contextualSpacing/>
    </w:pPr>
    <w:rPr>
      <w:rFonts w:ascii="Calibri" w:hAnsi="Calibri"/>
      <w:color w:val="000000"/>
      <w:sz w:val="22"/>
    </w:rPr>
  </w:style>
  <w:style w:styleId="ListNumber3" w:type="paragraph">
    <w:name w:val="List Number 3"/>
    <w:basedOn w:val="Normal"/>
    <w:uiPriority w:val="99"/>
    <w:unhideWhenUsed/>
    <w:rsid w:val="0029639D"/>
    <w:pPr>
      <w:numPr>
        <w:numId w:val="7"/>
      </w:numPr>
      <w:spacing w:after="100" w:line="250" w:lineRule="auto"/>
      <w:contextualSpacing/>
    </w:pPr>
    <w:rPr>
      <w:rFonts w:ascii="Calibri" w:hAnsi="Calibri"/>
      <w:color w:val="000000"/>
      <w:sz w:val="22"/>
    </w:rPr>
  </w:style>
  <w:style w:styleId="ListContinue" w:type="paragraph">
    <w:name w:val="List Continue"/>
    <w:basedOn w:val="Normal"/>
    <w:uiPriority w:val="99"/>
    <w:unhideWhenUsed/>
    <w:rsid w:val="0029639D"/>
    <w:pPr>
      <w:spacing w:after="100" w:line="250" w:lineRule="auto"/>
      <w:ind w:left="360"/>
      <w:contextualSpacing/>
    </w:pPr>
    <w:rPr>
      <w:rFonts w:ascii="Calibri" w:hAnsi="Calibri"/>
      <w:color w:val="000000"/>
      <w:sz w:val="22"/>
    </w:rPr>
  </w:style>
  <w:style w:styleId="ListContinue2" w:type="paragraph">
    <w:name w:val="List Continue 2"/>
    <w:basedOn w:val="Normal"/>
    <w:uiPriority w:val="99"/>
    <w:unhideWhenUsed/>
    <w:rsid w:val="0029639D"/>
    <w:pPr>
      <w:spacing w:after="100" w:line="250" w:lineRule="auto"/>
      <w:ind w:left="720"/>
      <w:contextualSpacing/>
    </w:pPr>
    <w:rPr>
      <w:rFonts w:ascii="Calibri" w:hAnsi="Calibri"/>
      <w:color w:val="000000"/>
      <w:sz w:val="22"/>
    </w:rPr>
  </w:style>
  <w:style w:styleId="ListContinue3" w:type="paragraph">
    <w:name w:val="List Continue 3"/>
    <w:basedOn w:val="Normal"/>
    <w:uiPriority w:val="99"/>
    <w:unhideWhenUsed/>
    <w:rsid w:val="0029639D"/>
    <w:pPr>
      <w:spacing w:after="100" w:line="250" w:lineRule="auto"/>
      <w:ind w:left="1080"/>
      <w:contextualSpacing/>
    </w:pPr>
    <w:rPr>
      <w:rFonts w:ascii="Calibri" w:hAnsi="Calibri"/>
      <w:color w:val="000000"/>
      <w:sz w:val="22"/>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spacing w:after="100" w:line="250" w:lineRule="auto"/>
    </w:pPr>
    <w:rPr>
      <w:rFonts w:ascii="Calibri" w:hAnsi="Calibri"/>
      <w:color w:val="000000"/>
      <w:sz w:val="22"/>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00" w:line="250" w:lineRule="auto"/>
    </w:pPr>
    <w:rPr>
      <w:rFonts w:ascii="Calibri" w:hAnsi="Calibri"/>
      <w:i/>
      <w:iCs/>
      <w:color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00" w:line="250" w:lineRule="auto"/>
    </w:pPr>
    <w:rPr>
      <w:rFonts w:ascii="Calibri" w:hAnsi="Calibri"/>
      <w:b/>
      <w:bCs/>
      <w:color w:val="000000"/>
      <w:sz w:val="22"/>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100" w:before="200" w:line="250" w:lineRule="auto"/>
      <w:ind w:left="936" w:right="936"/>
    </w:pPr>
    <w:rPr>
      <w:rFonts w:ascii="Calibri" w:hAnsi="Calibri"/>
      <w:b/>
      <w:bCs/>
      <w:i/>
      <w:iCs/>
      <w:color w:val="000000"/>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spacing w:after="100" w:line="250" w:lineRule="auto"/>
      <w:outlineLvl w:val="9"/>
    </w:pPr>
    <w:rPr>
      <w:rFonts w:ascii="Calibri" w:hAnsi="Calibri"/>
      <w:color w:val="000000"/>
      <w:sz w:val="22"/>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55" Type="http://schemas.openxmlformats.org/officeDocument/2006/relationships/hyperlink" Target="https://doi.org/10.1038/s41588-023-01604-7" TargetMode="External"/><Relationship Id="rId51" Type="http://schemas.openxmlformats.org/officeDocument/2006/relationships/hyperlink" Target="https://doi.org/10.1038/s41588-026-02799-1" TargetMode="External"/><Relationship Id="rId48" Type="http://schemas.openxmlformats.org/officeDocument/2006/relationships/hyperlink" Target="https://github.com/Vusumuzi2Mabasa/Multiancestry_GWAS_Bayesian_Comparison/blob/main/checksums_public.sha256" TargetMode="External"/><Relationship Id="rId44" Type="http://schemas.openxmlformats.org/officeDocument/2006/relationships/hyperlink" Target="https://github.com/Vusumuzi2Mabasa/Multiancestry_GWAS_Bayesian_Comparison/blob/main/report/Multiancestry_GWAS_Methodology_and_Results.docx" TargetMode="External"/><Relationship Id="rId47" Type="http://schemas.openxmlformats.org/officeDocument/2006/relationships/hyperlink" Target="https://github.com/Vusumuzi2Mabasa/Multiancestry_GWAS_Bayesian_Comparison/blob/main/requirements.txt" TargetMode="External"/><Relationship Id="rId35" Type="http://schemas.openxmlformats.org/officeDocument/2006/relationships/hyperlink" Target="https://github.com/Vusumuzi2Mabasa/Multiancestry_GWAS_Bayesian_Comparison/blob/main/results/afr_specific_posterior_means.tsv" TargetMode="External"/><Relationship Id="rId37" Type="http://schemas.openxmlformats.org/officeDocument/2006/relationships/hyperlink" Target="https://github.com/Vusumuzi2Mabasa/Multiancestry_GWAS_Bayesian_Comparison/blob/main/results/null_event_counts.tsv" TargetMode="External"/><Relationship Id="rId38" Type="http://schemas.openxmlformats.org/officeDocument/2006/relationships/hyperlink" Target="https://github.com/Vusumuzi2Mabasa/Multiancestry_GWAS_Bayesian_Comparison/blob/main/results/paired_differences.tsv" TargetMode="External"/><Relationship Id="rId45" Type="http://schemas.openxmlformats.org/officeDocument/2006/relationships/hyperlink" Target="https://github.com/Vusumuzi2Mabasa/Multiancestry_GWAS_Bayesian_Comparison/blob/main/results/runtime_and_validation.json" TargetMode="External"/><Relationship Id="rId11" Type="http://schemas.openxmlformats.org/officeDocument/2006/relationships/hyperlink" Target="https://github.com/Vusumuzi2Mabasa/Multiancestry_GWAS_Bayesian_Comparison/blob/main/results/study_config.json" TargetMode="External"/><Relationship Id="rId23" Type="http://schemas.openxmlformats.org/officeDocument/2006/relationships/hyperlink" Target="https://github.com/Vusumuzi2Mabasa/Multiancestry_GWAS_Bayesian_Comparison/blob/main/results/summary.tsv" TargetMode="External"/><Relationship Id="rId46" Type="http://schemas.openxmlformats.org/officeDocument/2006/relationships/hyperlink" Target="https://github.com/Vusumuzi2Mabasa/Multiancestry_GWAS_Bayesian_Comparison/blob/main/results/word_report_software.json" TargetMode="External"/><Relationship Id="rId12" Type="http://schemas.openxmlformats.org/officeDocument/2006/relationships/hyperlink" Target="https://github.com/Vusumuzi2Mabasa/Multiancestry_GWAS_Bayesian_Comparison/blob/main/scripts/simulate_compare.py" TargetMode="External"/><Relationship Id="rId16" Type="http://schemas.openxmlformats.org/officeDocument/2006/relationships/hyperlink" Target="https://github.com/Vusumuzi2Mabasa/Multiancestry_GWAS_Bayesian_Comparison/blob/main/tools/provenance.json" TargetMode="External"/><Relationship Id="rId54" Type="http://schemas.openxmlformats.org/officeDocument/2006/relationships/hyperlink" Target="https://github.com/light156/multi-ancestry-COJO" TargetMode="External"/><Relationship Id="rId49" Type="http://schemas.openxmlformats.org/officeDocument/2006/relationships/hyperlink" Target="https://github.com/light156/multi-ancestry-COJO/releases/tag/v1.1.0" TargetMode="External"/><Relationship Id="rId53" Type="http://schemas.openxmlformats.org/officeDocument/2006/relationships/hyperlink" Target="https://light156.github.io/multi-ancestry-COJO-docs/options/" TargetMode="External"/><Relationship Id="rId52" Type="http://schemas.openxmlformats.org/officeDocument/2006/relationships/hyperlink" Target="https://light156.github.io/multi-ancestry-COJO-docs/tutorial/"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doi.org/10.1038/s41588-023-01604-7" TargetMode="External"/><Relationship Id="rId51" Type="http://schemas.openxmlformats.org/officeDocument/2006/relationships/hyperlink" Target="https://doi.org/10.1038/s41588-026-02799-1" TargetMode="External"/><Relationship Id="rId48" Type="http://schemas.openxmlformats.org/officeDocument/2006/relationships/hyperlink" Target="https://github.com/Vusumuzi2Mabasa/Multiancestry_GWAS_Bayesian_Comparison/blob/main/checksums_public.sha256" TargetMode="External"/><Relationship Id="rId44" Type="http://schemas.openxmlformats.org/officeDocument/2006/relationships/hyperlink" Target="https://github.com/Vusumuzi2Mabasa/Multiancestry_GWAS_Bayesian_Comparison/blob/main/report/Multiancestry_GWAS_Methodology_and_Results.docx" TargetMode="External"/><Relationship Id="rId47" Type="http://schemas.openxmlformats.org/officeDocument/2006/relationships/hyperlink" Target="https://github.com/Vusumuzi2Mabasa/Multiancestry_GWAS_Bayesian_Comparison/blob/main/requirements.txt" TargetMode="External"/><Relationship Id="rId35" Type="http://schemas.openxmlformats.org/officeDocument/2006/relationships/hyperlink" Target="https://github.com/Vusumuzi2Mabasa/Multiancestry_GWAS_Bayesian_Comparison/blob/main/results/afr_specific_posterior_means.tsv" TargetMode="External"/><Relationship Id="rId37" Type="http://schemas.openxmlformats.org/officeDocument/2006/relationships/hyperlink" Target="https://github.com/Vusumuzi2Mabasa/Multiancestry_GWAS_Bayesian_Comparison/blob/main/results/null_event_counts.tsv" TargetMode="External"/><Relationship Id="rId38" Type="http://schemas.openxmlformats.org/officeDocument/2006/relationships/hyperlink" Target="https://github.com/Vusumuzi2Mabasa/Multiancestry_GWAS_Bayesian_Comparison/blob/main/results/paired_differences.tsv" TargetMode="External"/><Relationship Id="rId45" Type="http://schemas.openxmlformats.org/officeDocument/2006/relationships/hyperlink" Target="https://github.com/Vusumuzi2Mabasa/Multiancestry_GWAS_Bayesian_Comparison/blob/main/results/runtime_and_validation.json" TargetMode="External"/><Relationship Id="rId11" Type="http://schemas.openxmlformats.org/officeDocument/2006/relationships/hyperlink" Target="https://github.com/Vusumuzi2Mabasa/Multiancestry_GWAS_Bayesian_Comparison/blob/main/results/study_config.json" TargetMode="External"/><Relationship Id="rId23" Type="http://schemas.openxmlformats.org/officeDocument/2006/relationships/hyperlink" Target="https://github.com/Vusumuzi2Mabasa/Multiancestry_GWAS_Bayesian_Comparison/blob/main/results/summary.tsv" TargetMode="External"/><Relationship Id="rId46" Type="http://schemas.openxmlformats.org/officeDocument/2006/relationships/hyperlink" Target="https://github.com/Vusumuzi2Mabasa/Multiancestry_GWAS_Bayesian_Comparison/blob/main/results/word_report_software.json" TargetMode="External"/><Relationship Id="rId12" Type="http://schemas.openxmlformats.org/officeDocument/2006/relationships/hyperlink" Target="https://github.com/Vusumuzi2Mabasa/Multiancestry_GWAS_Bayesian_Comparison/blob/main/scripts/simulate_compare.py" TargetMode="External"/><Relationship Id="rId16" Type="http://schemas.openxmlformats.org/officeDocument/2006/relationships/hyperlink" Target="https://github.com/Vusumuzi2Mabasa/Multiancestry_GWAS_Bayesian_Comparison/blob/main/tools/provenance.json" TargetMode="External"/><Relationship Id="rId54" Type="http://schemas.openxmlformats.org/officeDocument/2006/relationships/hyperlink" Target="https://github.com/light156/multi-ancestry-COJO" TargetMode="External"/><Relationship Id="rId49" Type="http://schemas.openxmlformats.org/officeDocument/2006/relationships/hyperlink" Target="https://github.com/light156/multi-ancestry-COJO/releases/tag/v1.1.0" TargetMode="External"/><Relationship Id="rId53" Type="http://schemas.openxmlformats.org/officeDocument/2006/relationships/hyperlink" Target="https://light156.github.io/multi-ancestry-COJO-docs/options/" TargetMode="External"/><Relationship Id="rId52" Type="http://schemas.openxmlformats.org/officeDocument/2006/relationships/hyperlink" Target="https://light156.github.io/multi-ancestry-COJO-docs/tutori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Cross-population borrowing and effect heterogeneity in simulated genetic association studies</dc:title>
  <dc:creator>Vusumuzi Mabasa</dc:creator>
  <cp:keywords/>
  <dcterms:created xsi:type="dcterms:W3CDTF">2026-10-26T19:12:03Z</dcterms:created>
  <dcterms:modified xsi:type="dcterms:W3CDTF">2026-10-26T19:12:03Z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paired comparison of Manc-COJO and Bayesian hierarchical variable selection</vt:lpwstr>
  </property>
</Properties>
</file>