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Occupational exposure and respiratory disease surveillance</w:t>
      </w:r>
    </w:p>
    <w:p>
      <w:r>
        <w:t>A reproducible synthetic cohort analysis using Nextflow</w:t>
      </w:r>
    </w:p>
    <w:p>
      <w:r>
        <w:t>Research software validation report | OccuSurv NF version 0.1.0 | Seed 2026</w:t>
      </w:r>
    </w:p>
    <w:p>
      <w:r>
        <w:t>This study evaluates a reproducible workflow for exposure monitoring, disease surveillance and time-to-event analysis. All worker records and outcomes are simulated. The analysis demonstrates computational behaviour under stated assumptions and does not estimate disease burden or risk for NIOH or any real workforce.</w:t>
      </w:r>
    </w:p>
    <w:p>
      <w:pPr>
        <w:pStyle w:val="Heading1"/>
      </w:pPr>
      <w:r>
        <w:t>Principal findings</w:t>
      </w:r>
    </w:p>
    <w:p>
      <w:r>
        <w:t>After quality control, 499 workers remained. The incident cohort included 476 workers, 137 diagnoses and 2793.1 person-years. The crude incidence rate was 49.05 per 1000 person-years. Regression status was fitted.</w:t>
      </w:r>
    </w:p>
    <w:tbl>
      <w:tblPr>
        <w:tblStyle w:val="LightShading-Accent1"/>
        <w:tblW w:type="auto" w:w="0"/>
        <w:tblLook w:firstColumn="1" w:firstRow="1" w:lastColumn="0" w:lastRow="0" w:noHBand="0" w:noVBand="1" w:val="04A0"/>
      </w:tblPr>
      <w:tblGrid>
        <w:gridCol w:w="4968"/>
        <w:gridCol w:w="4968"/>
      </w:tblGrid>
      <w:tr>
        <w:trPr>
          <w:tblHeader/>
        </w:trPr>
        <w:tc>
          <w:tcPr>
            <w:tcW w:type="dxa" w:w="4968"/>
            <w:shd w:fill="E8EDF0"/>
          </w:tcPr>
          <w:p>
            <w:r>
              <w:rPr>
                <w:b/>
                <w:color w:val="000000"/>
                <w:sz w:val="20"/>
              </w:rPr>
              <w:t>Measure</w:t>
            </w:r>
          </w:p>
        </w:tc>
        <w:tc>
          <w:tcPr>
            <w:tcW w:type="dxa" w:w="4968"/>
            <w:shd w:fill="E8EDF0"/>
          </w:tcPr>
          <w:p>
            <w:r>
              <w:rPr>
                <w:b/>
                <w:color w:val="000000"/>
                <w:sz w:val="20"/>
              </w:rPr>
              <w:t>Result</w:t>
            </w:r>
          </w:p>
        </w:tc>
      </w:tr>
      <w:tr>
        <w:tc>
          <w:tcPr>
            <w:tcW w:type="dxa" w:w="4968"/>
          </w:tcPr>
          <w:p>
            <w:r>
              <w:rPr>
                <w:sz w:val="20"/>
              </w:rPr>
              <w:t>Generated workers</w:t>
            </w:r>
          </w:p>
        </w:tc>
        <w:tc>
          <w:tcPr>
            <w:tcW w:type="dxa" w:w="4968"/>
          </w:tcPr>
          <w:p>
            <w:r>
              <w:rPr>
                <w:sz w:val="20"/>
              </w:rPr>
              <w:t>500</w:t>
            </w:r>
          </w:p>
        </w:tc>
      </w:tr>
      <w:tr>
        <w:tc>
          <w:tcPr>
            <w:tcW w:type="dxa" w:w="4968"/>
          </w:tcPr>
          <w:p>
            <w:r>
              <w:rPr>
                <w:sz w:val="20"/>
              </w:rPr>
              <w:t>Eligible workers</w:t>
            </w:r>
          </w:p>
        </w:tc>
        <w:tc>
          <w:tcPr>
            <w:tcW w:type="dxa" w:w="4968"/>
          </w:tcPr>
          <w:p>
            <w:r>
              <w:rPr>
                <w:sz w:val="20"/>
              </w:rPr>
              <w:t>499</w:t>
            </w:r>
          </w:p>
        </w:tc>
      </w:tr>
      <w:tr>
        <w:tc>
          <w:tcPr>
            <w:tcW w:type="dxa" w:w="4968"/>
          </w:tcPr>
          <w:p>
            <w:r>
              <w:rPr>
                <w:sz w:val="20"/>
              </w:rPr>
              <w:t>Baseline disease</w:t>
            </w:r>
          </w:p>
        </w:tc>
        <w:tc>
          <w:tcPr>
            <w:tcW w:type="dxa" w:w="4968"/>
          </w:tcPr>
          <w:p>
            <w:r>
              <w:rPr>
                <w:sz w:val="20"/>
              </w:rPr>
              <w:t>22 / 499</w:t>
            </w:r>
          </w:p>
        </w:tc>
      </w:tr>
      <w:tr>
        <w:tc>
          <w:tcPr>
            <w:tcW w:type="dxa" w:w="4968"/>
          </w:tcPr>
          <w:p>
            <w:r>
              <w:rPr>
                <w:sz w:val="20"/>
              </w:rPr>
              <w:t>Incident cohort</w:t>
            </w:r>
          </w:p>
        </w:tc>
        <w:tc>
          <w:tcPr>
            <w:tcW w:type="dxa" w:w="4968"/>
          </w:tcPr>
          <w:p>
            <w:r>
              <w:rPr>
                <w:sz w:val="20"/>
              </w:rPr>
              <w:t>476</w:t>
            </w:r>
          </w:p>
        </w:tc>
      </w:tr>
      <w:tr>
        <w:tc>
          <w:tcPr>
            <w:tcW w:type="dxa" w:w="4968"/>
          </w:tcPr>
          <w:p>
            <w:r>
              <w:rPr>
                <w:sz w:val="20"/>
              </w:rPr>
              <w:t>Incident events</w:t>
            </w:r>
          </w:p>
        </w:tc>
        <w:tc>
          <w:tcPr>
            <w:tcW w:type="dxa" w:w="4968"/>
          </w:tcPr>
          <w:p>
            <w:r>
              <w:rPr>
                <w:sz w:val="20"/>
              </w:rPr>
              <w:t>137</w:t>
            </w:r>
          </w:p>
        </w:tc>
      </w:tr>
      <w:tr>
        <w:tc>
          <w:tcPr>
            <w:tcW w:type="dxa" w:w="4968"/>
          </w:tcPr>
          <w:p>
            <w:r>
              <w:rPr>
                <w:sz w:val="20"/>
              </w:rPr>
              <w:t>Person years</w:t>
            </w:r>
          </w:p>
        </w:tc>
        <w:tc>
          <w:tcPr>
            <w:tcW w:type="dxa" w:w="4968"/>
          </w:tcPr>
          <w:p>
            <w:r>
              <w:rPr>
                <w:sz w:val="20"/>
              </w:rPr>
              <w:t>2793.1</w:t>
            </w:r>
          </w:p>
        </w:tc>
      </w:tr>
      <w:tr>
        <w:tc>
          <w:tcPr>
            <w:tcW w:type="dxa" w:w="4968"/>
          </w:tcPr>
          <w:p>
            <w:r>
              <w:rPr>
                <w:sz w:val="20"/>
              </w:rPr>
              <w:t>Complete case model events</w:t>
            </w:r>
          </w:p>
        </w:tc>
        <w:tc>
          <w:tcPr>
            <w:tcW w:type="dxa" w:w="4968"/>
          </w:tcPr>
          <w:p>
            <w:r>
              <w:rPr>
                <w:sz w:val="20"/>
              </w:rPr>
              <w:t>130</w:t>
            </w:r>
          </w:p>
        </w:tc>
      </w:tr>
    </w:tbl>
    <w:p/>
    <w:p>
      <w:r>
        <w:t>The pipeline separates prevalence, exposure summaries and incidence denominators. It preserves row-level QC reasons and skips regression when fewer than 30 complete-case events are available. The principal model estimates are evaluated against the assumed generating values, without requiring statistical significance or forcing interval coverage.</w:t>
      </w:r>
    </w:p>
    <w:p>
      <w:r>
        <w:br w:type="page"/>
      </w:r>
    </w:p>
    <w:p>
      <w:pPr>
        <w:pStyle w:val="Heading1"/>
      </w:pPr>
      <w:r>
        <w:t>Simulation design and exposure history</w:t>
      </w:r>
    </w:p>
    <w:p>
      <w:r>
        <w:t>Workers are assigned to twelve workplaces across construction, brick manufacture and stone fabrication. Age is uniform from 25 to 65 years. Employment duration is Uniform(3,30), capped at age minus 18. Smoking is Bernoulli with probability 0.35.</w:t>
      </w:r>
    </w:p>
    <w:p>
      <w:r>
        <w:t>Historical concentration is lognormal, with industry medians 0.04, 0.07 and 0.12 mg/m3, workplace log SD 0.18 and worker log SD 0.35. Each worker has three baseline measurements with log SD 0.25 measurement error. Workplace effects influence exposure only; the model contains no unmeasured shared disease frailty.</w:t>
      </w:r>
    </w:p>
    <w:p>
      <w:r>
        <w:drawing>
          <wp:inline xmlns:a="http://schemas.openxmlformats.org/drawingml/2006/main" xmlns:pic="http://schemas.openxmlformats.org/drawingml/2006/picture">
            <wp:extent cx="6035040" cy="429143"/>
            <wp:docPr id="1" name="Picture 1"/>
            <wp:cNvGraphicFramePr>
              <a:graphicFrameLocks noChangeAspect="1"/>
            </wp:cNvGraphicFramePr>
            <a:graphic>
              <a:graphicData uri="http://schemas.openxmlformats.org/drawingml/2006/picture">
                <pic:pic>
                  <pic:nvPicPr>
                    <pic:cNvPr id="0" name="exposure.png"/>
                    <pic:cNvPicPr/>
                  </pic:nvPicPr>
                  <pic:blipFill>
                    <a:blip r:embed="rId9"/>
                    <a:stretch>
                      <a:fillRect/>
                    </a:stretch>
                  </pic:blipFill>
                  <pic:spPr>
                    <a:xfrm>
                      <a:off x="0" y="0"/>
                      <a:ext cx="6035040" cy="429143"/>
                    </a:xfrm>
                    <a:prstGeom prst="rect"/>
                  </pic:spPr>
                </pic:pic>
              </a:graphicData>
            </a:graphic>
          </wp:inline>
        </w:drawing>
      </w:r>
    </w:p>
    <w:p>
      <w:r>
        <w:t>Historical concentration c is constant over employment duration d in this simulation. Five years of recent exposure are excluded from the baseline cumulative metric. The reference unit C0 makes the logarithm dimensionless.</w:t>
      </w:r>
    </w:p>
    <w:p>
      <w:r>
        <w:drawing>
          <wp:inline xmlns:a="http://schemas.openxmlformats.org/drawingml/2006/main" xmlns:pic="http://schemas.openxmlformats.org/drawingml/2006/picture">
            <wp:extent cx="6035040" cy="398363"/>
            <wp:docPr id="2" name="Picture 2"/>
            <wp:cNvGraphicFramePr>
              <a:graphicFrameLocks noChangeAspect="1"/>
            </wp:cNvGraphicFramePr>
            <a:graphic>
              <a:graphicData uri="http://schemas.openxmlformats.org/drawingml/2006/picture">
                <pic:pic>
                  <pic:nvPicPr>
                    <pic:cNvPr id="0" name="hazard.png"/>
                    <pic:cNvPicPr/>
                  </pic:nvPicPr>
                  <pic:blipFill>
                    <a:blip r:embed="rId10"/>
                    <a:stretch>
                      <a:fillRect/>
                    </a:stretch>
                  </pic:blipFill>
                  <pic:spPr>
                    <a:xfrm>
                      <a:off x="0" y="0"/>
                      <a:ext cx="6035040" cy="398363"/>
                    </a:xfrm>
                    <a:prstGeom prst="rect"/>
                  </pic:spPr>
                </pic:pic>
              </a:graphicData>
            </a:graphic>
          </wp:inline>
        </w:drawing>
      </w:r>
    </w:p>
    <w:p>
      <w:r>
        <w:t>Time is measured in years; a=(age-45)/10 and s is smoking status. All constants are illustrative generating assumptions, not estimates for South African workers.</w:t>
      </w:r>
    </w:p>
    <w:p>
      <w:r>
        <w:drawing>
          <wp:inline xmlns:a="http://schemas.openxmlformats.org/drawingml/2006/main" xmlns:pic="http://schemas.openxmlformats.org/drawingml/2006/picture">
            <wp:extent cx="6035040" cy="627739"/>
            <wp:docPr id="3" name="Picture 3"/>
            <wp:cNvGraphicFramePr>
              <a:graphicFrameLocks noChangeAspect="1"/>
            </wp:cNvGraphicFramePr>
            <a:graphic>
              <a:graphicData uri="http://schemas.openxmlformats.org/drawingml/2006/picture">
                <pic:pic>
                  <pic:nvPicPr>
                    <pic:cNvPr id="0" name="event.png"/>
                    <pic:cNvPicPr/>
                  </pic:nvPicPr>
                  <pic:blipFill>
                    <a:blip r:embed="rId11"/>
                    <a:stretch>
                      <a:fillRect/>
                    </a:stretch>
                  </pic:blipFill>
                  <pic:spPr>
                    <a:xfrm>
                      <a:off x="0" y="0"/>
                      <a:ext cx="6035040" cy="627739"/>
                    </a:xfrm>
                    <a:prstGeom prst="rect"/>
                  </pic:spPr>
                </pic:pic>
              </a:graphicData>
            </a:graphic>
          </wp:inline>
        </w:drawing>
      </w:r>
    </w:p>
    <w:p>
      <w:r>
        <w:t>U is uniform on (0,1); independent censoring C* is the minimum of eight years and an exponential time with mean 25 years. C* is distinct from cumulative exposure C. Prevalent cases do not enter the incident cohort.</w:t>
      </w:r>
    </w:p>
    <w:p>
      <w:r>
        <w:t>Baseline disease probability is expit(-3.4 + 0.5x + 0.3a). Incident times are generated among baseline disease-free workers conditional on their covariates. The exposure lag and hazard coefficients are illustrative assumptions, not empirically calibrated silicosis parameters. The model does not reconstruct lifetime disease onset.</w:t>
      </w:r>
    </w:p>
    <w:p>
      <w:r>
        <w:br w:type="page"/>
      </w:r>
    </w:p>
    <w:p>
      <w:pPr>
        <w:pStyle w:val="Heading1"/>
      </w:pPr>
      <w:r>
        <w:t>Quality control and disease burden estimators</w:t>
      </w:r>
    </w:p>
    <w:tbl>
      <w:tblPr>
        <w:tblStyle w:val="LightShading-Accent1"/>
        <w:tblW w:type="auto" w:w="0"/>
        <w:tblLook w:firstColumn="1" w:firstRow="1" w:lastColumn="0" w:lastRow="0" w:noHBand="0" w:noVBand="1" w:val="04A0"/>
      </w:tblPr>
      <w:tblGrid>
        <w:gridCol w:w="4968"/>
        <w:gridCol w:w="4968"/>
      </w:tblGrid>
      <w:tr>
        <w:trPr>
          <w:tblHeader/>
        </w:trPr>
        <w:tc>
          <w:tcPr>
            <w:tcW w:type="dxa" w:w="4968"/>
            <w:shd w:fill="E8EDF0"/>
          </w:tcPr>
          <w:p>
            <w:r>
              <w:rPr>
                <w:b/>
                <w:color w:val="000000"/>
                <w:sz w:val="20"/>
              </w:rPr>
              <w:t>QC measure</w:t>
            </w:r>
          </w:p>
        </w:tc>
        <w:tc>
          <w:tcPr>
            <w:tcW w:type="dxa" w:w="4968"/>
            <w:shd w:fill="E8EDF0"/>
          </w:tcPr>
          <w:p>
            <w:r>
              <w:rPr>
                <w:b/>
                <w:color w:val="000000"/>
                <w:sz w:val="20"/>
              </w:rPr>
              <w:t>Count</w:t>
            </w:r>
          </w:p>
        </w:tc>
      </w:tr>
      <w:tr>
        <w:tc>
          <w:tcPr>
            <w:tcW w:type="dxa" w:w="4968"/>
          </w:tcPr>
          <w:p>
            <w:r>
              <w:rPr>
                <w:sz w:val="20"/>
              </w:rPr>
              <w:t>Input worker rows including duplicate</w:t>
            </w:r>
          </w:p>
        </w:tc>
        <w:tc>
          <w:tcPr>
            <w:tcW w:type="dxa" w:w="4968"/>
          </w:tcPr>
          <w:p>
            <w:r>
              <w:rPr>
                <w:sz w:val="20"/>
              </w:rPr>
              <w:t>501</w:t>
            </w:r>
          </w:p>
        </w:tc>
      </w:tr>
      <w:tr>
        <w:tc>
          <w:tcPr>
            <w:tcW w:type="dxa" w:w="4968"/>
          </w:tcPr>
          <w:p>
            <w:r>
              <w:rPr>
                <w:sz w:val="20"/>
              </w:rPr>
              <w:t>Retained workers</w:t>
            </w:r>
          </w:p>
        </w:tc>
        <w:tc>
          <w:tcPr>
            <w:tcW w:type="dxa" w:w="4968"/>
          </w:tcPr>
          <w:p>
            <w:r>
              <w:rPr>
                <w:sz w:val="20"/>
              </w:rPr>
              <w:t>499</w:t>
            </w:r>
          </w:p>
        </w:tc>
      </w:tr>
      <w:tr>
        <w:tc>
          <w:tcPr>
            <w:tcW w:type="dxa" w:w="4968"/>
          </w:tcPr>
          <w:p>
            <w:r>
              <w:rPr>
                <w:sz w:val="20"/>
              </w:rPr>
              <w:t>Valid follow-up records</w:t>
            </w:r>
          </w:p>
        </w:tc>
        <w:tc>
          <w:tcPr>
            <w:tcW w:type="dxa" w:w="4968"/>
          </w:tcPr>
          <w:p>
            <w:r>
              <w:rPr>
                <w:sz w:val="20"/>
              </w:rPr>
              <w:t>476</w:t>
            </w:r>
          </w:p>
        </w:tc>
      </w:tr>
      <w:tr>
        <w:tc>
          <w:tcPr>
            <w:tcW w:type="dxa" w:w="4968"/>
          </w:tcPr>
          <w:p>
            <w:r>
              <w:rPr>
                <w:sz w:val="20"/>
              </w:rPr>
              <w:t>Measurements before QC</w:t>
            </w:r>
          </w:p>
        </w:tc>
        <w:tc>
          <w:tcPr>
            <w:tcW w:type="dxa" w:w="4968"/>
          </w:tcPr>
          <w:p>
            <w:r>
              <w:rPr>
                <w:sz w:val="20"/>
              </w:rPr>
              <w:t>1500</w:t>
            </w:r>
          </w:p>
        </w:tc>
      </w:tr>
      <w:tr>
        <w:tc>
          <w:tcPr>
            <w:tcW w:type="dxa" w:w="4968"/>
          </w:tcPr>
          <w:p>
            <w:r>
              <w:rPr>
                <w:sz w:val="20"/>
              </w:rPr>
              <w:t>Measurements after QC</w:t>
            </w:r>
          </w:p>
        </w:tc>
        <w:tc>
          <w:tcPr>
            <w:tcW w:type="dxa" w:w="4968"/>
          </w:tcPr>
          <w:p>
            <w:r>
              <w:rPr>
                <w:sz w:val="20"/>
              </w:rPr>
              <w:t>1495</w:t>
            </w:r>
          </w:p>
        </w:tc>
      </w:tr>
      <w:tr>
        <w:tc>
          <w:tcPr>
            <w:tcW w:type="dxa" w:w="4968"/>
          </w:tcPr>
          <w:p>
            <w:r>
              <w:rPr>
                <w:sz w:val="20"/>
              </w:rPr>
              <w:t>Audit entries including warnings</w:t>
            </w:r>
          </w:p>
        </w:tc>
        <w:tc>
          <w:tcPr>
            <w:tcW w:type="dxa" w:w="4968"/>
          </w:tcPr>
          <w:p>
            <w:r>
              <w:rPr>
                <w:sz w:val="20"/>
              </w:rPr>
              <w:t>26</w:t>
            </w:r>
          </w:p>
        </w:tc>
      </w:tr>
    </w:tbl>
    <w:p/>
    <w:p>
      <w:r>
        <w:t>Exact duplicate worker rows are collapsed; conflicting IDs fail validation. Invalid age, employment history and baseline status are excluded. Follow-up must have positive time no greater than eight years and a binary event. Measurements require valid IDs, nonnegative concentrations, acceptable sampling durations and mg/m3 units. Missing smoking is retained for descriptive analyses and excluded from regression. Audit entries may overlap and must not be added as unique exclusions.</w:t>
      </w:r>
    </w:p>
    <w:p>
      <w:r>
        <w:drawing>
          <wp:inline xmlns:a="http://schemas.openxmlformats.org/drawingml/2006/main" xmlns:pic="http://schemas.openxmlformats.org/drawingml/2006/picture">
            <wp:extent cx="6035040" cy="774738"/>
            <wp:docPr id="4" name="Picture 4"/>
            <wp:cNvGraphicFramePr>
              <a:graphicFrameLocks noChangeAspect="1"/>
            </wp:cNvGraphicFramePr>
            <a:graphic>
              <a:graphicData uri="http://schemas.openxmlformats.org/drawingml/2006/picture">
                <pic:pic>
                  <pic:nvPicPr>
                    <pic:cNvPr id="0" name="wilson.png"/>
                    <pic:cNvPicPr/>
                  </pic:nvPicPr>
                  <pic:blipFill>
                    <a:blip r:embed="rId12"/>
                    <a:stretch>
                      <a:fillRect/>
                    </a:stretch>
                  </pic:blipFill>
                  <pic:spPr>
                    <a:xfrm>
                      <a:off x="0" y="0"/>
                      <a:ext cx="6035040" cy="774738"/>
                    </a:xfrm>
                    <a:prstGeom prst="rect"/>
                  </pic:spPr>
                </pic:pic>
              </a:graphicData>
            </a:graphic>
          </wp:inline>
        </w:drawing>
      </w:r>
    </w:p>
    <w:p>
      <w:r>
        <w:t>The baseline prevalence proportion uses a Wilson 95 percent interval. It describes the eligible cross-sectional sample and is not an incidence estimate.</w:t>
      </w:r>
    </w:p>
    <w:p>
      <w:r>
        <w:drawing>
          <wp:inline xmlns:a="http://schemas.openxmlformats.org/drawingml/2006/main" xmlns:pic="http://schemas.openxmlformats.org/drawingml/2006/picture">
            <wp:extent cx="6035040" cy="635030"/>
            <wp:docPr id="5" name="Picture 5"/>
            <wp:cNvGraphicFramePr>
              <a:graphicFrameLocks noChangeAspect="1"/>
            </wp:cNvGraphicFramePr>
            <a:graphic>
              <a:graphicData uri="http://schemas.openxmlformats.org/drawingml/2006/picture">
                <pic:pic>
                  <pic:nvPicPr>
                    <pic:cNvPr id="0" name="rate.png"/>
                    <pic:cNvPicPr/>
                  </pic:nvPicPr>
                  <pic:blipFill>
                    <a:blip r:embed="rId13"/>
                    <a:stretch>
                      <a:fillRect/>
                    </a:stretch>
                  </pic:blipFill>
                  <pic:spPr>
                    <a:xfrm>
                      <a:off x="0" y="0"/>
                      <a:ext cx="6035040" cy="635030"/>
                    </a:xfrm>
                    <a:prstGeom prst="rect"/>
                  </pic:spPr>
                </pic:pic>
              </a:graphicData>
            </a:graphic>
          </wp:inline>
        </w:drawing>
      </w:r>
    </w:p>
    <w:p>
      <w:r>
        <w:t>D is the number of incident events and PY is observed person-time. The lower endpoint is zero for D=0. These are conventional Poisson count intervals conditional on person-time; heterogeneity and workplace dependence can limit their coverage.</w:t>
      </w:r>
    </w:p>
    <w:p>
      <w:r>
        <w:drawing>
          <wp:inline xmlns:a="http://schemas.openxmlformats.org/drawingml/2006/main" xmlns:pic="http://schemas.openxmlformats.org/drawingml/2006/picture">
            <wp:extent cx="5120640" cy="917060"/>
            <wp:docPr id="6" name="Picture 6"/>
            <wp:cNvGraphicFramePr>
              <a:graphicFrameLocks noChangeAspect="1"/>
            </wp:cNvGraphicFramePr>
            <a:graphic>
              <a:graphicData uri="http://schemas.openxmlformats.org/drawingml/2006/picture">
                <pic:pic>
                  <pic:nvPicPr>
                    <pic:cNvPr id="0" name="km.png"/>
                    <pic:cNvPicPr/>
                  </pic:nvPicPr>
                  <pic:blipFill>
                    <a:blip r:embed="rId14"/>
                    <a:stretch>
                      <a:fillRect/>
                    </a:stretch>
                  </pic:blipFill>
                  <pic:spPr>
                    <a:xfrm>
                      <a:off x="0" y="0"/>
                      <a:ext cx="5120640" cy="917060"/>
                    </a:xfrm>
                    <a:prstGeom prst="rect"/>
                  </pic:spPr>
                </pic:pic>
              </a:graphicData>
            </a:graphic>
          </wp:inline>
        </w:drawing>
      </w:r>
    </w:p>
    <w:p>
      <w:r>
        <w:t>At each distinct event time, nj is the risk set and dj the number of diagnoses. Greenwood G supports log-minus-log pointwise confidence intervals: transform log(-log S), use standard error sqrt(G)/abs(log S), then back-transform. Boundary survival values use boundary limits.</w:t>
      </w:r>
    </w:p>
    <w:p>
      <w:r>
        <w:br w:type="page"/>
      </w:r>
    </w:p>
    <w:p>
      <w:pPr>
        <w:pStyle w:val="Heading1"/>
      </w:pPr>
      <w:r>
        <w:t>Regression estimation and diagnostics</w:t>
      </w:r>
    </w:p>
    <w:p>
      <w:r>
        <w:drawing>
          <wp:inline xmlns:a="http://schemas.openxmlformats.org/drawingml/2006/main" xmlns:pic="http://schemas.openxmlformats.org/drawingml/2006/picture">
            <wp:extent cx="5303520" cy="878497"/>
            <wp:docPr id="7" name="Picture 7"/>
            <wp:cNvGraphicFramePr>
              <a:graphicFrameLocks noChangeAspect="1"/>
            </wp:cNvGraphicFramePr>
            <a:graphic>
              <a:graphicData uri="http://schemas.openxmlformats.org/drawingml/2006/picture">
                <pic:pic>
                  <pic:nvPicPr>
                    <pic:cNvPr id="0" name="cox.png"/>
                    <pic:cNvPicPr/>
                  </pic:nvPicPr>
                  <pic:blipFill>
                    <a:blip r:embed="rId15"/>
                    <a:stretch>
                      <a:fillRect/>
                    </a:stretch>
                  </pic:blipFill>
                  <pic:spPr>
                    <a:xfrm>
                      <a:off x="0" y="0"/>
                      <a:ext cx="5303520" cy="878497"/>
                    </a:xfrm>
                    <a:prstGeom prst="rect"/>
                  </pic:spPr>
                </pic:pic>
              </a:graphicData>
            </a:graphic>
          </wp:inline>
        </w:drawing>
      </w:r>
    </w:p>
    <w:p>
      <w:r>
        <w:t>The Cox partial log likelihood uses the exposure transform, age per decade and smoking. Continuous generated event times have no designed ties; Breslow handling is configured for ties. No intercept is fitted because the baseline hazard absorbs it.</w:t>
      </w:r>
    </w:p>
    <w:p>
      <w:r>
        <w:drawing>
          <wp:inline xmlns:a="http://schemas.openxmlformats.org/drawingml/2006/main" xmlns:pic="http://schemas.openxmlformats.org/drawingml/2006/picture">
            <wp:extent cx="5303520" cy="659355"/>
            <wp:docPr id="8" name="Picture 8"/>
            <wp:cNvGraphicFramePr>
              <a:graphicFrameLocks noChangeAspect="1"/>
            </wp:cNvGraphicFramePr>
            <a:graphic>
              <a:graphicData uri="http://schemas.openxmlformats.org/drawingml/2006/picture">
                <pic:pic>
                  <pic:nvPicPr>
                    <pic:cNvPr id="0" name="newton.png"/>
                    <pic:cNvPicPr/>
                  </pic:nvPicPr>
                  <pic:blipFill>
                    <a:blip r:embed="rId16"/>
                    <a:stretch>
                      <a:fillRect/>
                    </a:stretch>
                  </pic:blipFill>
                  <pic:spPr>
                    <a:xfrm>
                      <a:off x="0" y="0"/>
                      <a:ext cx="5303520" cy="659355"/>
                    </a:xfrm>
                    <a:prstGeom prst="rect"/>
                  </pic:spPr>
                </pic:pic>
              </a:graphicData>
            </a:graphic>
          </wp:inline>
        </w:drawing>
      </w:r>
    </w:p>
    <w:p>
      <w:r>
        <w:t>Statsmodels maximises the partial likelihood by Newton optimisation, using score U and observed information I. We require a finite solution and maximum absolute score below 1e-4. V is model-based covariance, conditional on the specified covariates and independent workers.</w:t>
      </w:r>
    </w:p>
    <w:p>
      <w:r>
        <w:drawing>
          <wp:inline xmlns:a="http://schemas.openxmlformats.org/drawingml/2006/main" xmlns:pic="http://schemas.openxmlformats.org/drawingml/2006/picture">
            <wp:extent cx="5029200" cy="571217"/>
            <wp:docPr id="9" name="Picture 9"/>
            <wp:cNvGraphicFramePr>
              <a:graphicFrameLocks noChangeAspect="1"/>
            </wp:cNvGraphicFramePr>
            <a:graphic>
              <a:graphicData uri="http://schemas.openxmlformats.org/drawingml/2006/picture">
                <pic:pic>
                  <pic:nvPicPr>
                    <pic:cNvPr id="0" name="hr.png"/>
                    <pic:cNvPicPr/>
                  </pic:nvPicPr>
                  <pic:blipFill>
                    <a:blip r:embed="rId17"/>
                    <a:stretch>
                      <a:fillRect/>
                    </a:stretch>
                  </pic:blipFill>
                  <pic:spPr>
                    <a:xfrm>
                      <a:off x="0" y="0"/>
                      <a:ext cx="5029200" cy="571217"/>
                    </a:xfrm>
                    <a:prstGeom prst="rect"/>
                  </pic:spPr>
                </pic:pic>
              </a:graphicData>
            </a:graphic>
          </wp:inline>
        </w:drawing>
      </w:r>
    </w:p>
    <w:p>
      <w:r>
        <w:t>The exposure HR is per one-unit increase in log2(1+C/C0), not per doubling of raw exposure. Wald P values are exploratory and unadjusted. The model is skipped below 30 complete-case events, a computational safeguard rather than a sample-size justification.</w:t>
      </w:r>
    </w:p>
    <w:p>
      <w:r>
        <w:drawing>
          <wp:inline xmlns:a="http://schemas.openxmlformats.org/drawingml/2006/main" xmlns:pic="http://schemas.openxmlformats.org/drawingml/2006/picture">
            <wp:extent cx="4023360" cy="1787393"/>
            <wp:docPr id="10" name="Picture 10"/>
            <wp:cNvGraphicFramePr>
              <a:graphicFrameLocks noChangeAspect="1"/>
            </wp:cNvGraphicFramePr>
            <a:graphic>
              <a:graphicData uri="http://schemas.openxmlformats.org/drawingml/2006/picture">
                <pic:pic>
                  <pic:nvPicPr>
                    <pic:cNvPr id="0" name="residual.png"/>
                    <pic:cNvPicPr/>
                  </pic:nvPicPr>
                  <pic:blipFill>
                    <a:blip r:embed="rId18"/>
                    <a:stretch>
                      <a:fillRect/>
                    </a:stretch>
                  </pic:blipFill>
                  <pic:spPr>
                    <a:xfrm>
                      <a:off x="0" y="0"/>
                      <a:ext cx="4023360" cy="1787393"/>
                    </a:xfrm>
                    <a:prstGeom prst="rect"/>
                  </pic:spPr>
                </pic:pic>
              </a:graphicData>
            </a:graphic>
          </wp:inline>
        </w:drawing>
      </w:r>
    </w:p>
    <w:p>
      <w:r>
        <w:t>Schoenfeld residuals at event times are plotted against log time with LOWESS smoothing. Spearman correlations are descriptive only. These diagnostics are not a formal global proportional-hazards test and do not establish that proportional hazards holds.</w:t>
      </w:r>
    </w:p>
    <w:p>
      <w:r>
        <w:t>The Cox model uses complete cases and no automated variable selection. It assumes noninformative censoring and proportional hazards. Conditional independence is built into the simulation; the model-based standard errors should not be transported to a real clustered workforce without reassessing dependence. The event threshold is a guardrail, not a proof of adequate power.</w:t>
      </w:r>
    </w:p>
    <w:p>
      <w:r>
        <w:br w:type="page"/>
      </w:r>
    </w:p>
    <w:p>
      <w:pPr>
        <w:pStyle w:val="Heading1"/>
      </w:pPr>
      <w:r>
        <w:t>Exposure and incidence results</w:t>
      </w:r>
    </w:p>
    <w:p>
      <w:r>
        <w:drawing>
          <wp:inline xmlns:a="http://schemas.openxmlformats.org/drawingml/2006/main" xmlns:pic="http://schemas.openxmlformats.org/drawingml/2006/picture">
            <wp:extent cx="6035040" cy="2791206"/>
            <wp:docPr id="11" name="Picture 11"/>
            <wp:cNvGraphicFramePr>
              <a:graphicFrameLocks noChangeAspect="1"/>
            </wp:cNvGraphicFramePr>
            <a:graphic>
              <a:graphicData uri="http://schemas.openxmlformats.org/drawingml/2006/picture">
                <pic:pic>
                  <pic:nvPicPr>
                    <pic:cNvPr id="0" name="exposure.png"/>
                    <pic:cNvPicPr/>
                  </pic:nvPicPr>
                  <pic:blipFill>
                    <a:blip r:embed="rId19"/>
                    <a:stretch>
                      <a:fillRect/>
                    </a:stretch>
                  </pic:blipFill>
                  <pic:spPr>
                    <a:xfrm>
                      <a:off x="0" y="0"/>
                      <a:ext cx="6035040" cy="2791206"/>
                    </a:xfrm>
                    <a:prstGeom prst="rect"/>
                  </pic:spPr>
                </pic:pic>
              </a:graphicData>
            </a:graphic>
          </wp:inline>
        </w:drawing>
      </w:r>
    </w:p>
    <w:p>
      <w:pPr>
        <w:spacing w:after="180"/>
      </w:pPr>
      <w:r>
        <w:rPr>
          <w:sz w:val="20"/>
        </w:rPr>
        <w:t>Figure 1. Each point is the mean of valid baseline measurements for a worker. Boxes summarise the worker means; no occupational limit is imposed.</w:t>
      </w:r>
    </w:p>
    <w:p>
      <w:r>
        <w:drawing>
          <wp:inline xmlns:a="http://schemas.openxmlformats.org/drawingml/2006/main" xmlns:pic="http://schemas.openxmlformats.org/drawingml/2006/picture">
            <wp:extent cx="6035040" cy="2640330"/>
            <wp:docPr id="12" name="Picture 12"/>
            <wp:cNvGraphicFramePr>
              <a:graphicFrameLocks noChangeAspect="1"/>
            </wp:cNvGraphicFramePr>
            <a:graphic>
              <a:graphicData uri="http://schemas.openxmlformats.org/drawingml/2006/picture">
                <pic:pic>
                  <pic:nvPicPr>
                    <pic:cNvPr id="0" name="incidence.png"/>
                    <pic:cNvPicPr/>
                  </pic:nvPicPr>
                  <pic:blipFill>
                    <a:blip r:embed="rId20"/>
                    <a:stretch>
                      <a:fillRect/>
                    </a:stretch>
                  </pic:blipFill>
                  <pic:spPr>
                    <a:xfrm>
                      <a:off x="0" y="0"/>
                      <a:ext cx="6035040" cy="2640330"/>
                    </a:xfrm>
                    <a:prstGeom prst="rect"/>
                  </pic:spPr>
                </pic:pic>
              </a:graphicData>
            </a:graphic>
          </wp:inline>
        </w:drawing>
      </w:r>
    </w:p>
    <w:p>
      <w:pPr>
        <w:spacing w:after="180"/>
      </w:pPr>
      <w:r>
        <w:rPr>
          <w:sz w:val="20"/>
        </w:rPr>
        <w:t>Figure 2. Industry-specific crude rates with conventional 95 percent Poisson intervals. These are not adjusted exposure effects.</w:t>
      </w:r>
    </w:p>
    <w:p>
      <w:r>
        <w:t>Repeated monitoring measurements contribute to worker-level descriptive means. The regression instead uses the known simulated historical concentration. Measurement error in reconstructed occupational history remains a future extension.</w:t>
      </w:r>
    </w:p>
    <w:p>
      <w:r>
        <w:br w:type="page"/>
      </w:r>
    </w:p>
    <w:p>
      <w:pPr>
        <w:pStyle w:val="Heading1"/>
      </w:pPr>
      <w:r>
        <w:t>Disease free survival</w:t>
      </w:r>
    </w:p>
    <w:p>
      <w:r>
        <w:drawing>
          <wp:inline xmlns:a="http://schemas.openxmlformats.org/drawingml/2006/main" xmlns:pic="http://schemas.openxmlformats.org/drawingml/2006/picture">
            <wp:extent cx="6035040" cy="2791206"/>
            <wp:docPr id="13" name="Picture 13"/>
            <wp:cNvGraphicFramePr>
              <a:graphicFrameLocks noChangeAspect="1"/>
            </wp:cNvGraphicFramePr>
            <a:graphic>
              <a:graphicData uri="http://schemas.openxmlformats.org/drawingml/2006/picture">
                <pic:pic>
                  <pic:nvPicPr>
                    <pic:cNvPr id="0" name="survival.png"/>
                    <pic:cNvPicPr/>
                  </pic:nvPicPr>
                  <pic:blipFill>
                    <a:blip r:embed="rId21"/>
                    <a:stretch>
                      <a:fillRect/>
                    </a:stretch>
                  </pic:blipFill>
                  <pic:spPr>
                    <a:xfrm>
                      <a:off x="0" y="0"/>
                      <a:ext cx="6035040" cy="2791206"/>
                    </a:xfrm>
                    <a:prstGeom prst="rect"/>
                  </pic:spPr>
                </pic:pic>
              </a:graphicData>
            </a:graphic>
          </wp:inline>
        </w:drawing>
      </w:r>
    </w:p>
    <w:p>
      <w:pPr>
        <w:spacing w:after="180"/>
      </w:pPr>
      <w:r>
        <w:rPr>
          <w:sz w:val="20"/>
        </w:rPr>
        <w:t>Figure 3. Kaplan Meier survival with pointwise log-minus-log intervals. Prevalent cases are excluded. Curves are descriptive and unadjusted.</w:t>
      </w:r>
    </w:p>
    <w:tbl>
      <w:tblPr>
        <w:tblStyle w:val="LightShading-Accent1"/>
        <w:tblW w:type="auto" w:w="0"/>
        <w:tblLook w:firstColumn="1" w:firstRow="1" w:lastColumn="0" w:lastRow="0" w:noHBand="0" w:noVBand="1" w:val="04A0"/>
      </w:tblPr>
      <w:tblGrid>
        <w:gridCol w:w="1656"/>
        <w:gridCol w:w="1656"/>
        <w:gridCol w:w="1656"/>
        <w:gridCol w:w="1656"/>
        <w:gridCol w:w="1656"/>
        <w:gridCol w:w="1656"/>
      </w:tblGrid>
      <w:tr>
        <w:trPr>
          <w:tblHeader/>
        </w:trPr>
        <w:tc>
          <w:tcPr>
            <w:tcW w:type="dxa" w:w="1656"/>
            <w:shd w:fill="E8EDF0"/>
          </w:tcPr>
          <w:p>
            <w:r>
              <w:rPr>
                <w:b/>
                <w:color w:val="000000"/>
                <w:sz w:val="20"/>
              </w:rPr>
              <w:t>Industry</w:t>
            </w:r>
          </w:p>
        </w:tc>
        <w:tc>
          <w:tcPr>
            <w:tcW w:type="dxa" w:w="1656"/>
            <w:shd w:fill="E8EDF0"/>
          </w:tcPr>
          <w:p>
            <w:r>
              <w:rPr>
                <w:b/>
                <w:color w:val="000000"/>
                <w:sz w:val="20"/>
              </w:rPr>
              <w:t>0 y</w:t>
            </w:r>
          </w:p>
        </w:tc>
        <w:tc>
          <w:tcPr>
            <w:tcW w:type="dxa" w:w="1656"/>
            <w:shd w:fill="E8EDF0"/>
          </w:tcPr>
          <w:p>
            <w:r>
              <w:rPr>
                <w:b/>
                <w:color w:val="000000"/>
                <w:sz w:val="20"/>
              </w:rPr>
              <w:t>2 y</w:t>
            </w:r>
          </w:p>
        </w:tc>
        <w:tc>
          <w:tcPr>
            <w:tcW w:type="dxa" w:w="1656"/>
            <w:shd w:fill="E8EDF0"/>
          </w:tcPr>
          <w:p>
            <w:r>
              <w:rPr>
                <w:b/>
                <w:color w:val="000000"/>
                <w:sz w:val="20"/>
              </w:rPr>
              <w:t>4 y</w:t>
            </w:r>
          </w:p>
        </w:tc>
        <w:tc>
          <w:tcPr>
            <w:tcW w:type="dxa" w:w="1656"/>
            <w:shd w:fill="E8EDF0"/>
          </w:tcPr>
          <w:p>
            <w:r>
              <w:rPr>
                <w:b/>
                <w:color w:val="000000"/>
                <w:sz w:val="20"/>
              </w:rPr>
              <w:t>6 y</w:t>
            </w:r>
          </w:p>
        </w:tc>
        <w:tc>
          <w:tcPr>
            <w:tcW w:type="dxa" w:w="1656"/>
            <w:shd w:fill="E8EDF0"/>
          </w:tcPr>
          <w:p>
            <w:r>
              <w:rPr>
                <w:b/>
                <w:color w:val="000000"/>
                <w:sz w:val="20"/>
              </w:rPr>
              <w:t>8 y</w:t>
            </w:r>
          </w:p>
        </w:tc>
      </w:tr>
      <w:tr>
        <w:tc>
          <w:tcPr>
            <w:tcW w:type="dxa" w:w="1656"/>
          </w:tcPr>
          <w:p>
            <w:r>
              <w:rPr>
                <w:sz w:val="20"/>
              </w:rPr>
              <w:t>Brick manufacture</w:t>
            </w:r>
          </w:p>
        </w:tc>
        <w:tc>
          <w:tcPr>
            <w:tcW w:type="dxa" w:w="1656"/>
          </w:tcPr>
          <w:p>
            <w:r>
              <w:rPr>
                <w:sz w:val="20"/>
              </w:rPr>
              <w:t>160</w:t>
            </w:r>
          </w:p>
        </w:tc>
        <w:tc>
          <w:tcPr>
            <w:tcW w:type="dxa" w:w="1656"/>
          </w:tcPr>
          <w:p>
            <w:r>
              <w:rPr>
                <w:sz w:val="20"/>
              </w:rPr>
              <w:t>138</w:t>
            </w:r>
          </w:p>
        </w:tc>
        <w:tc>
          <w:tcPr>
            <w:tcW w:type="dxa" w:w="1656"/>
          </w:tcPr>
          <w:p>
            <w:r>
              <w:rPr>
                <w:sz w:val="20"/>
              </w:rPr>
              <w:t>113</w:t>
            </w:r>
          </w:p>
        </w:tc>
        <w:tc>
          <w:tcPr>
            <w:tcW w:type="dxa" w:w="1656"/>
          </w:tcPr>
          <w:p>
            <w:r>
              <w:rPr>
                <w:sz w:val="20"/>
              </w:rPr>
              <w:t>86</w:t>
            </w:r>
          </w:p>
        </w:tc>
        <w:tc>
          <w:tcPr>
            <w:tcW w:type="dxa" w:w="1656"/>
          </w:tcPr>
          <w:p>
            <w:r>
              <w:rPr>
                <w:sz w:val="20"/>
              </w:rPr>
              <w:t>76</w:t>
            </w:r>
          </w:p>
        </w:tc>
      </w:tr>
      <w:tr>
        <w:tc>
          <w:tcPr>
            <w:tcW w:type="dxa" w:w="1656"/>
          </w:tcPr>
          <w:p>
            <w:r>
              <w:rPr>
                <w:sz w:val="20"/>
              </w:rPr>
              <w:t>Construction</w:t>
            </w:r>
          </w:p>
        </w:tc>
        <w:tc>
          <w:tcPr>
            <w:tcW w:type="dxa" w:w="1656"/>
          </w:tcPr>
          <w:p>
            <w:r>
              <w:rPr>
                <w:sz w:val="20"/>
              </w:rPr>
              <w:t>160</w:t>
            </w:r>
          </w:p>
        </w:tc>
        <w:tc>
          <w:tcPr>
            <w:tcW w:type="dxa" w:w="1656"/>
          </w:tcPr>
          <w:p>
            <w:r>
              <w:rPr>
                <w:sz w:val="20"/>
              </w:rPr>
              <w:t>141</w:t>
            </w:r>
          </w:p>
        </w:tc>
        <w:tc>
          <w:tcPr>
            <w:tcW w:type="dxa" w:w="1656"/>
          </w:tcPr>
          <w:p>
            <w:r>
              <w:rPr>
                <w:sz w:val="20"/>
              </w:rPr>
              <w:t>120</w:t>
            </w:r>
          </w:p>
        </w:tc>
        <w:tc>
          <w:tcPr>
            <w:tcW w:type="dxa" w:w="1656"/>
          </w:tcPr>
          <w:p>
            <w:r>
              <w:rPr>
                <w:sz w:val="20"/>
              </w:rPr>
              <w:t>94</w:t>
            </w:r>
          </w:p>
        </w:tc>
        <w:tc>
          <w:tcPr>
            <w:tcW w:type="dxa" w:w="1656"/>
          </w:tcPr>
          <w:p>
            <w:r>
              <w:rPr>
                <w:sz w:val="20"/>
              </w:rPr>
              <w:t>72</w:t>
            </w:r>
          </w:p>
        </w:tc>
      </w:tr>
      <w:tr>
        <w:tc>
          <w:tcPr>
            <w:tcW w:type="dxa" w:w="1656"/>
          </w:tcPr>
          <w:p>
            <w:r>
              <w:rPr>
                <w:sz w:val="20"/>
              </w:rPr>
              <w:t>Stone fabrication</w:t>
            </w:r>
          </w:p>
        </w:tc>
        <w:tc>
          <w:tcPr>
            <w:tcW w:type="dxa" w:w="1656"/>
          </w:tcPr>
          <w:p>
            <w:r>
              <w:rPr>
                <w:sz w:val="20"/>
              </w:rPr>
              <w:t>156</w:t>
            </w:r>
          </w:p>
        </w:tc>
        <w:tc>
          <w:tcPr>
            <w:tcW w:type="dxa" w:w="1656"/>
          </w:tcPr>
          <w:p>
            <w:r>
              <w:rPr>
                <w:sz w:val="20"/>
              </w:rPr>
              <w:t>140</w:t>
            </w:r>
          </w:p>
        </w:tc>
        <w:tc>
          <w:tcPr>
            <w:tcW w:type="dxa" w:w="1656"/>
          </w:tcPr>
          <w:p>
            <w:r>
              <w:rPr>
                <w:sz w:val="20"/>
              </w:rPr>
              <w:t>115</w:t>
            </w:r>
          </w:p>
        </w:tc>
        <w:tc>
          <w:tcPr>
            <w:tcW w:type="dxa" w:w="1656"/>
          </w:tcPr>
          <w:p>
            <w:r>
              <w:rPr>
                <w:sz w:val="20"/>
              </w:rPr>
              <w:t>98</w:t>
            </w:r>
          </w:p>
        </w:tc>
        <w:tc>
          <w:tcPr>
            <w:tcW w:type="dxa" w:w="1656"/>
          </w:tcPr>
          <w:p>
            <w:r>
              <w:rPr>
                <w:sz w:val="20"/>
              </w:rPr>
              <w:t>79</w:t>
            </w:r>
          </w:p>
        </w:tc>
      </w:tr>
    </w:tbl>
    <w:p/>
    <w:tbl>
      <w:tblPr>
        <w:tblStyle w:val="LightShading-Accent1"/>
        <w:tblW w:type="auto" w:w="0"/>
        <w:tblLook w:firstColumn="1" w:firstRow="1" w:lastColumn="0" w:lastRow="0" w:noHBand="0" w:noVBand="1" w:val="04A0"/>
      </w:tblPr>
      <w:tblGrid>
        <w:gridCol w:w="2484"/>
        <w:gridCol w:w="2484"/>
        <w:gridCol w:w="2484"/>
        <w:gridCol w:w="2484"/>
      </w:tblGrid>
      <w:tr>
        <w:trPr>
          <w:tblHeader/>
        </w:trPr>
        <w:tc>
          <w:tcPr>
            <w:tcW w:type="dxa" w:w="2484"/>
            <w:shd w:fill="E8EDF0"/>
          </w:tcPr>
          <w:p>
            <w:r>
              <w:rPr>
                <w:b/>
                <w:color w:val="000000"/>
                <w:sz w:val="20"/>
              </w:rPr>
              <w:t>Industry</w:t>
            </w:r>
          </w:p>
        </w:tc>
        <w:tc>
          <w:tcPr>
            <w:tcW w:type="dxa" w:w="2484"/>
            <w:shd w:fill="E8EDF0"/>
          </w:tcPr>
          <w:p>
            <w:r>
              <w:rPr>
                <w:b/>
                <w:color w:val="000000"/>
                <w:sz w:val="20"/>
              </w:rPr>
              <w:t>Events</w:t>
            </w:r>
          </w:p>
        </w:tc>
        <w:tc>
          <w:tcPr>
            <w:tcW w:type="dxa" w:w="2484"/>
            <w:shd w:fill="E8EDF0"/>
          </w:tcPr>
          <w:p>
            <w:r>
              <w:rPr>
                <w:b/>
                <w:color w:val="000000"/>
                <w:sz w:val="20"/>
              </w:rPr>
              <w:t>Person years</w:t>
            </w:r>
          </w:p>
        </w:tc>
        <w:tc>
          <w:tcPr>
            <w:tcW w:type="dxa" w:w="2484"/>
            <w:shd w:fill="E8EDF0"/>
          </w:tcPr>
          <w:p>
            <w:r>
              <w:rPr>
                <w:b/>
                <w:color w:val="000000"/>
                <w:sz w:val="20"/>
              </w:rPr>
              <w:t>Rate per 1000</w:t>
            </w:r>
          </w:p>
        </w:tc>
      </w:tr>
      <w:tr>
        <w:tc>
          <w:tcPr>
            <w:tcW w:type="dxa" w:w="2484"/>
          </w:tcPr>
          <w:p>
            <w:r>
              <w:rPr>
                <w:sz w:val="20"/>
              </w:rPr>
              <w:t>Overall</w:t>
            </w:r>
          </w:p>
        </w:tc>
        <w:tc>
          <w:tcPr>
            <w:tcW w:type="dxa" w:w="2484"/>
          </w:tcPr>
          <w:p>
            <w:r>
              <w:rPr>
                <w:sz w:val="20"/>
              </w:rPr>
              <w:t>137</w:t>
            </w:r>
          </w:p>
        </w:tc>
        <w:tc>
          <w:tcPr>
            <w:tcW w:type="dxa" w:w="2484"/>
          </w:tcPr>
          <w:p>
            <w:r>
              <w:rPr>
                <w:sz w:val="20"/>
              </w:rPr>
              <w:t>2793.1</w:t>
            </w:r>
          </w:p>
        </w:tc>
        <w:tc>
          <w:tcPr>
            <w:tcW w:type="dxa" w:w="2484"/>
          </w:tcPr>
          <w:p>
            <w:r>
              <w:rPr>
                <w:sz w:val="20"/>
              </w:rPr>
              <w:t>49.05</w:t>
            </w:r>
          </w:p>
        </w:tc>
      </w:tr>
      <w:tr>
        <w:tc>
          <w:tcPr>
            <w:tcW w:type="dxa" w:w="2484"/>
          </w:tcPr>
          <w:p>
            <w:r>
              <w:rPr>
                <w:sz w:val="20"/>
              </w:rPr>
              <w:t>Brick manufacture</w:t>
            </w:r>
          </w:p>
        </w:tc>
        <w:tc>
          <w:tcPr>
            <w:tcW w:type="dxa" w:w="2484"/>
          </w:tcPr>
          <w:p>
            <w:r>
              <w:rPr>
                <w:sz w:val="20"/>
              </w:rPr>
              <w:t>52</w:t>
            </w:r>
          </w:p>
        </w:tc>
        <w:tc>
          <w:tcPr>
            <w:tcW w:type="dxa" w:w="2484"/>
          </w:tcPr>
          <w:p>
            <w:r>
              <w:rPr>
                <w:sz w:val="20"/>
              </w:rPr>
              <w:t>903.9</w:t>
            </w:r>
          </w:p>
        </w:tc>
        <w:tc>
          <w:tcPr>
            <w:tcW w:type="dxa" w:w="2484"/>
          </w:tcPr>
          <w:p>
            <w:r>
              <w:rPr>
                <w:sz w:val="20"/>
              </w:rPr>
              <w:t>57.53</w:t>
            </w:r>
          </w:p>
        </w:tc>
      </w:tr>
      <w:tr>
        <w:tc>
          <w:tcPr>
            <w:tcW w:type="dxa" w:w="2484"/>
          </w:tcPr>
          <w:p>
            <w:r>
              <w:rPr>
                <w:sz w:val="20"/>
              </w:rPr>
              <w:t>Construction</w:t>
            </w:r>
          </w:p>
        </w:tc>
        <w:tc>
          <w:tcPr>
            <w:tcW w:type="dxa" w:w="2484"/>
          </w:tcPr>
          <w:p>
            <w:r>
              <w:rPr>
                <w:sz w:val="20"/>
              </w:rPr>
              <w:t>41</w:t>
            </w:r>
          </w:p>
        </w:tc>
        <w:tc>
          <w:tcPr>
            <w:tcW w:type="dxa" w:w="2484"/>
          </w:tcPr>
          <w:p>
            <w:r>
              <w:rPr>
                <w:sz w:val="20"/>
              </w:rPr>
              <w:t>942.5</w:t>
            </w:r>
          </w:p>
        </w:tc>
        <w:tc>
          <w:tcPr>
            <w:tcW w:type="dxa" w:w="2484"/>
          </w:tcPr>
          <w:p>
            <w:r>
              <w:rPr>
                <w:sz w:val="20"/>
              </w:rPr>
              <w:t>43.50</w:t>
            </w:r>
          </w:p>
        </w:tc>
      </w:tr>
      <w:tr>
        <w:tc>
          <w:tcPr>
            <w:tcW w:type="dxa" w:w="2484"/>
          </w:tcPr>
          <w:p>
            <w:r>
              <w:rPr>
                <w:sz w:val="20"/>
              </w:rPr>
              <w:t>Stone fabrication</w:t>
            </w:r>
          </w:p>
        </w:tc>
        <w:tc>
          <w:tcPr>
            <w:tcW w:type="dxa" w:w="2484"/>
          </w:tcPr>
          <w:p>
            <w:r>
              <w:rPr>
                <w:sz w:val="20"/>
              </w:rPr>
              <w:t>44</w:t>
            </w:r>
          </w:p>
        </w:tc>
        <w:tc>
          <w:tcPr>
            <w:tcW w:type="dxa" w:w="2484"/>
          </w:tcPr>
          <w:p>
            <w:r>
              <w:rPr>
                <w:sz w:val="20"/>
              </w:rPr>
              <w:t>946.7</w:t>
            </w:r>
          </w:p>
        </w:tc>
        <w:tc>
          <w:tcPr>
            <w:tcW w:type="dxa" w:w="2484"/>
          </w:tcPr>
          <w:p>
            <w:r>
              <w:rPr>
                <w:sz w:val="20"/>
              </w:rPr>
              <w:t>46.48</w:t>
            </w:r>
          </w:p>
        </w:tc>
      </w:tr>
    </w:tbl>
    <w:p/>
    <w:p>
      <w:r>
        <w:t>Risk sets count workers observed immediately before the stated time. Administrative censoring occurs at eight years. Later estimates have fewer workers at risk; uncertainty should be interpreted accordingly.</w:t>
      </w:r>
    </w:p>
    <w:p>
      <w:r>
        <w:br w:type="page"/>
      </w:r>
    </w:p>
    <w:p>
      <w:pPr>
        <w:pStyle w:val="Heading1"/>
      </w:pPr>
      <w:r>
        <w:t>Adjusted associations</w:t>
      </w:r>
    </w:p>
    <w:p>
      <w:r>
        <w:drawing>
          <wp:inline xmlns:a="http://schemas.openxmlformats.org/drawingml/2006/main" xmlns:pic="http://schemas.openxmlformats.org/drawingml/2006/picture">
            <wp:extent cx="6035040" cy="2640330"/>
            <wp:docPr id="14" name="Picture 14"/>
            <wp:cNvGraphicFramePr>
              <a:graphicFrameLocks noChangeAspect="1"/>
            </wp:cNvGraphicFramePr>
            <a:graphic>
              <a:graphicData uri="http://schemas.openxmlformats.org/drawingml/2006/picture">
                <pic:pic>
                  <pic:nvPicPr>
                    <pic:cNvPr id="0" name="cox.png"/>
                    <pic:cNvPicPr/>
                  </pic:nvPicPr>
                  <pic:blipFill>
                    <a:blip r:embed="rId22"/>
                    <a:stretch>
                      <a:fillRect/>
                    </a:stretch>
                  </pic:blipFill>
                  <pic:spPr>
                    <a:xfrm>
                      <a:off x="0" y="0"/>
                      <a:ext cx="6035040" cy="2640330"/>
                    </a:xfrm>
                    <a:prstGeom prst="rect"/>
                  </pic:spPr>
                </pic:pic>
              </a:graphicData>
            </a:graphic>
          </wp:inline>
        </w:drawing>
      </w:r>
    </w:p>
    <w:p>
      <w:pPr>
        <w:spacing w:after="180"/>
      </w:pPr>
      <w:r>
        <w:rPr>
          <w:sz w:val="20"/>
        </w:rPr>
        <w:t>Figure 4. Estimated hazard ratios and 95 percent Wald intervals compared with the assumed generating values. Crosses indicate simulation parameters, not external estimates.</w:t>
      </w:r>
    </w:p>
    <w:tbl>
      <w:tblPr>
        <w:tblStyle w:val="LightShading-Accent1"/>
        <w:tblW w:type="auto" w:w="0"/>
        <w:tblLook w:firstColumn="1" w:firstRow="1" w:lastColumn="0" w:lastRow="0" w:noHBand="0" w:noVBand="1" w:val="04A0"/>
      </w:tblPr>
      <w:tblGrid>
        <w:gridCol w:w="2484"/>
        <w:gridCol w:w="2484"/>
        <w:gridCol w:w="2484"/>
        <w:gridCol w:w="2484"/>
      </w:tblGrid>
      <w:tr>
        <w:trPr>
          <w:tblHeader/>
        </w:trPr>
        <w:tc>
          <w:tcPr>
            <w:tcW w:type="dxa" w:w="2484"/>
            <w:shd w:fill="E8EDF0"/>
          </w:tcPr>
          <w:p>
            <w:r>
              <w:rPr>
                <w:b/>
                <w:color w:val="000000"/>
                <w:sz w:val="20"/>
              </w:rPr>
              <w:t>Term</w:t>
            </w:r>
          </w:p>
        </w:tc>
        <w:tc>
          <w:tcPr>
            <w:tcW w:type="dxa" w:w="2484"/>
            <w:shd w:fill="E8EDF0"/>
          </w:tcPr>
          <w:p>
            <w:r>
              <w:rPr>
                <w:b/>
                <w:color w:val="000000"/>
                <w:sz w:val="20"/>
              </w:rPr>
              <w:t>HR</w:t>
            </w:r>
          </w:p>
        </w:tc>
        <w:tc>
          <w:tcPr>
            <w:tcW w:type="dxa" w:w="2484"/>
            <w:shd w:fill="E8EDF0"/>
          </w:tcPr>
          <w:p>
            <w:r>
              <w:rPr>
                <w:b/>
                <w:color w:val="000000"/>
                <w:sz w:val="20"/>
              </w:rPr>
              <w:t>95 percent CI</w:t>
            </w:r>
          </w:p>
        </w:tc>
        <w:tc>
          <w:tcPr>
            <w:tcW w:type="dxa" w:w="2484"/>
            <w:shd w:fill="E8EDF0"/>
          </w:tcPr>
          <w:p>
            <w:r>
              <w:rPr>
                <w:b/>
                <w:color w:val="000000"/>
                <w:sz w:val="20"/>
              </w:rPr>
              <w:t>P</w:t>
            </w:r>
          </w:p>
        </w:tc>
      </w:tr>
      <w:tr>
        <w:tc>
          <w:tcPr>
            <w:tcW w:type="dxa" w:w="2484"/>
          </w:tcPr>
          <w:p>
            <w:r>
              <w:rPr>
                <w:sz w:val="20"/>
              </w:rPr>
              <w:t>log2_1plus_cumulative</w:t>
            </w:r>
          </w:p>
        </w:tc>
        <w:tc>
          <w:tcPr>
            <w:tcW w:type="dxa" w:w="2484"/>
          </w:tcPr>
          <w:p>
            <w:r>
              <w:rPr>
                <w:sz w:val="20"/>
              </w:rPr>
              <w:t>1.392</w:t>
            </w:r>
          </w:p>
        </w:tc>
        <w:tc>
          <w:tcPr>
            <w:tcW w:type="dxa" w:w="2484"/>
          </w:tcPr>
          <w:p>
            <w:r>
              <w:rPr>
                <w:sz w:val="20"/>
              </w:rPr>
              <w:t>1.033 to 1.876</w:t>
            </w:r>
          </w:p>
        </w:tc>
        <w:tc>
          <w:tcPr>
            <w:tcW w:type="dxa" w:w="2484"/>
          </w:tcPr>
          <w:p>
            <w:r>
              <w:rPr>
                <w:sz w:val="20"/>
              </w:rPr>
              <w:t>0.0296</w:t>
            </w:r>
          </w:p>
        </w:tc>
      </w:tr>
      <w:tr>
        <w:tc>
          <w:tcPr>
            <w:tcW w:type="dxa" w:w="2484"/>
          </w:tcPr>
          <w:p>
            <w:r>
              <w:rPr>
                <w:sz w:val="20"/>
              </w:rPr>
              <w:t>age_per_decade</w:t>
            </w:r>
          </w:p>
        </w:tc>
        <w:tc>
          <w:tcPr>
            <w:tcW w:type="dxa" w:w="2484"/>
          </w:tcPr>
          <w:p>
            <w:r>
              <w:rPr>
                <w:sz w:val="20"/>
              </w:rPr>
              <w:t>1.135</w:t>
            </w:r>
          </w:p>
        </w:tc>
        <w:tc>
          <w:tcPr>
            <w:tcW w:type="dxa" w:w="2484"/>
          </w:tcPr>
          <w:p>
            <w:r>
              <w:rPr>
                <w:sz w:val="20"/>
              </w:rPr>
              <w:t>0.966 to 1.333</w:t>
            </w:r>
          </w:p>
        </w:tc>
        <w:tc>
          <w:tcPr>
            <w:tcW w:type="dxa" w:w="2484"/>
          </w:tcPr>
          <w:p>
            <w:r>
              <w:rPr>
                <w:sz w:val="20"/>
              </w:rPr>
              <w:t>0.124</w:t>
            </w:r>
          </w:p>
        </w:tc>
      </w:tr>
      <w:tr>
        <w:tc>
          <w:tcPr>
            <w:tcW w:type="dxa" w:w="2484"/>
          </w:tcPr>
          <w:p>
            <w:r>
              <w:rPr>
                <w:sz w:val="20"/>
              </w:rPr>
              <w:t>smoker</w:t>
            </w:r>
          </w:p>
        </w:tc>
        <w:tc>
          <w:tcPr>
            <w:tcW w:type="dxa" w:w="2484"/>
          </w:tcPr>
          <w:p>
            <w:r>
              <w:rPr>
                <w:sz w:val="20"/>
              </w:rPr>
              <w:t>1.432</w:t>
            </w:r>
          </w:p>
        </w:tc>
        <w:tc>
          <w:tcPr>
            <w:tcW w:type="dxa" w:w="2484"/>
          </w:tcPr>
          <w:p>
            <w:r>
              <w:rPr>
                <w:sz w:val="20"/>
              </w:rPr>
              <w:t>1.010 to 2.031</w:t>
            </w:r>
          </w:p>
        </w:tc>
        <w:tc>
          <w:tcPr>
            <w:tcW w:type="dxa" w:w="2484"/>
          </w:tcPr>
          <w:p>
            <w:r>
              <w:rPr>
                <w:sz w:val="20"/>
              </w:rPr>
              <w:t>0.0437</w:t>
            </w:r>
          </w:p>
        </w:tc>
      </w:tr>
    </w:tbl>
    <w:p/>
    <w:p>
      <w:r>
        <w:drawing>
          <wp:inline xmlns:a="http://schemas.openxmlformats.org/drawingml/2006/main" xmlns:pic="http://schemas.openxmlformats.org/drawingml/2006/picture">
            <wp:extent cx="6035040" cy="1991563"/>
            <wp:docPr id="15" name="Picture 15"/>
            <wp:cNvGraphicFramePr>
              <a:graphicFrameLocks noChangeAspect="1"/>
            </wp:cNvGraphicFramePr>
            <a:graphic>
              <a:graphicData uri="http://schemas.openxmlformats.org/drawingml/2006/picture">
                <pic:pic>
                  <pic:nvPicPr>
                    <pic:cNvPr id="0" name="ph_diagnostics.png"/>
                    <pic:cNvPicPr/>
                  </pic:nvPicPr>
                  <pic:blipFill>
                    <a:blip r:embed="rId23"/>
                    <a:stretch>
                      <a:fillRect/>
                    </a:stretch>
                  </pic:blipFill>
                  <pic:spPr>
                    <a:xfrm>
                      <a:off x="0" y="0"/>
                      <a:ext cx="6035040" cy="1991563"/>
                    </a:xfrm>
                    <a:prstGeom prst="rect"/>
                  </pic:spPr>
                </pic:pic>
              </a:graphicData>
            </a:graphic>
          </wp:inline>
        </w:drawing>
      </w:r>
    </w:p>
    <w:p>
      <w:pPr>
        <w:spacing w:after="180"/>
      </w:pPr>
      <w:r>
        <w:rPr>
          <w:sz w:val="20"/>
        </w:rPr>
        <w:t>Figure 5. Schoenfeld residuals and LOWESS trends against log event time. These are exploratory diagnostics rather than a formal test.</w:t>
      </w:r>
    </w:p>
    <w:p>
      <w:r>
        <w:br w:type="page"/>
      </w:r>
    </w:p>
    <w:p>
      <w:pPr>
        <w:pStyle w:val="Heading1"/>
      </w:pPr>
      <w:r>
        <w:t>Interpretation limitations and reproducibility</w:t>
      </w:r>
    </w:p>
    <w:p>
      <w:r>
        <w:t>This simulation verifies data flow and numerical execution for a small dataset. Agreement with generating values in one run does not establish estimator unbiasedness, confidence interval coverage or suitability for surveillance decisions. Statistical significance is not a validation criterion.</w:t>
      </w:r>
    </w:p>
    <w:p>
      <w:r>
        <w:t>The design omits competing mortality, healthy worker selection, diagnostic misclassification, time-varying exposures and informative loss to follow-up. The five-year lag is a declared modelling choice. Twelve workplaces are not sufficient to justify complex hierarchical inference without further investigation. The independent nature of the project is explicit; it uses no institutional patient data and is not endorsed by NIOH.</w:t>
      </w:r>
    </w:p>
    <w:p>
      <w:r>
        <w:t>Nextflow runs simulation, QC, statistical analysis, figures and this report as dependent processes. Outputs include CSV tables, QC audit, hashes, assumptions, software versions and execution trace. Resume behaviour and a low-event smoke run are checked separately in the repository validation record.</w:t>
      </w:r>
    </w:p>
    <w:tbl>
      <w:tblPr>
        <w:tblStyle w:val="LightShading-Accent1"/>
        <w:tblW w:type="auto" w:w="0"/>
        <w:tblLook w:firstColumn="1" w:firstRow="1" w:lastColumn="0" w:lastRow="0" w:noHBand="0" w:noVBand="1" w:val="04A0"/>
      </w:tblPr>
      <w:tblGrid>
        <w:gridCol w:w="4968"/>
        <w:gridCol w:w="4968"/>
      </w:tblGrid>
      <w:tr>
        <w:trPr>
          <w:tblHeader/>
        </w:trPr>
        <w:tc>
          <w:tcPr>
            <w:tcW w:type="dxa" w:w="4968"/>
            <w:shd w:fill="E8EDF0"/>
          </w:tcPr>
          <w:p>
            <w:r>
              <w:rPr>
                <w:b/>
                <w:color w:val="000000"/>
                <w:sz w:val="20"/>
              </w:rPr>
              <w:t>Component</w:t>
            </w:r>
          </w:p>
        </w:tc>
        <w:tc>
          <w:tcPr>
            <w:tcW w:type="dxa" w:w="4968"/>
            <w:shd w:fill="E8EDF0"/>
          </w:tcPr>
          <w:p>
            <w:r>
              <w:rPr>
                <w:b/>
                <w:color w:val="000000"/>
                <w:sz w:val="20"/>
              </w:rPr>
              <w:t>Version</w:t>
            </w:r>
          </w:p>
        </w:tc>
      </w:tr>
      <w:tr>
        <w:tc>
          <w:tcPr>
            <w:tcW w:type="dxa" w:w="4968"/>
          </w:tcPr>
          <w:p>
            <w:r>
              <w:rPr>
                <w:sz w:val="20"/>
              </w:rPr>
              <w:t>python</w:t>
            </w:r>
          </w:p>
        </w:tc>
        <w:tc>
          <w:tcPr>
            <w:tcW w:type="dxa" w:w="4968"/>
          </w:tcPr>
          <w:p>
            <w:r>
              <w:rPr>
                <w:sz w:val="20"/>
              </w:rPr>
              <w:t>3.13.13</w:t>
            </w:r>
          </w:p>
        </w:tc>
      </w:tr>
      <w:tr>
        <w:tc>
          <w:tcPr>
            <w:tcW w:type="dxa" w:w="4968"/>
          </w:tcPr>
          <w:p>
            <w:r>
              <w:rPr>
                <w:sz w:val="20"/>
              </w:rPr>
              <w:t>numpy</w:t>
            </w:r>
          </w:p>
        </w:tc>
        <w:tc>
          <w:tcPr>
            <w:tcW w:type="dxa" w:w="4968"/>
          </w:tcPr>
          <w:p>
            <w:r>
              <w:rPr>
                <w:sz w:val="20"/>
              </w:rPr>
              <w:t>2.3.5</w:t>
            </w:r>
          </w:p>
        </w:tc>
      </w:tr>
      <w:tr>
        <w:tc>
          <w:tcPr>
            <w:tcW w:type="dxa" w:w="4968"/>
          </w:tcPr>
          <w:p>
            <w:r>
              <w:rPr>
                <w:sz w:val="20"/>
              </w:rPr>
              <w:t>pandas</w:t>
            </w:r>
          </w:p>
        </w:tc>
        <w:tc>
          <w:tcPr>
            <w:tcW w:type="dxa" w:w="4968"/>
          </w:tcPr>
          <w:p>
            <w:r>
              <w:rPr>
                <w:sz w:val="20"/>
              </w:rPr>
              <w:t>2.3.3</w:t>
            </w:r>
          </w:p>
        </w:tc>
      </w:tr>
      <w:tr>
        <w:tc>
          <w:tcPr>
            <w:tcW w:type="dxa" w:w="4968"/>
          </w:tcPr>
          <w:p>
            <w:r>
              <w:rPr>
                <w:sz w:val="20"/>
              </w:rPr>
              <w:t>scipy</w:t>
            </w:r>
          </w:p>
        </w:tc>
        <w:tc>
          <w:tcPr>
            <w:tcW w:type="dxa" w:w="4968"/>
          </w:tcPr>
          <w:p>
            <w:r>
              <w:rPr>
                <w:sz w:val="20"/>
              </w:rPr>
              <w:t>1.16.3</w:t>
            </w:r>
          </w:p>
        </w:tc>
      </w:tr>
      <w:tr>
        <w:tc>
          <w:tcPr>
            <w:tcW w:type="dxa" w:w="4968"/>
          </w:tcPr>
          <w:p>
            <w:r>
              <w:rPr>
                <w:sz w:val="20"/>
              </w:rPr>
              <w:t>statsmodels</w:t>
            </w:r>
          </w:p>
        </w:tc>
        <w:tc>
          <w:tcPr>
            <w:tcW w:type="dxa" w:w="4968"/>
          </w:tcPr>
          <w:p>
            <w:r>
              <w:rPr>
                <w:sz w:val="20"/>
              </w:rPr>
              <w:t>0.14.5</w:t>
            </w:r>
          </w:p>
        </w:tc>
      </w:tr>
      <w:tr>
        <w:tc>
          <w:tcPr>
            <w:tcW w:type="dxa" w:w="4968"/>
          </w:tcPr>
          <w:p>
            <w:r>
              <w:rPr>
                <w:sz w:val="20"/>
              </w:rPr>
              <w:t>Report Python</w:t>
            </w:r>
          </w:p>
        </w:tc>
        <w:tc>
          <w:tcPr>
            <w:tcW w:type="dxa" w:w="4968"/>
          </w:tcPr>
          <w:p>
            <w:r>
              <w:rPr>
                <w:sz w:val="20"/>
              </w:rPr>
              <w:t>3.12.14</w:t>
            </w:r>
          </w:p>
        </w:tc>
      </w:tr>
      <w:tr>
        <w:tc>
          <w:tcPr>
            <w:tcW w:type="dxa" w:w="4968"/>
          </w:tcPr>
          <w:p>
            <w:r>
              <w:rPr>
                <w:sz w:val="20"/>
              </w:rPr>
              <w:t>python docx</w:t>
            </w:r>
          </w:p>
        </w:tc>
        <w:tc>
          <w:tcPr>
            <w:tcW w:type="dxa" w:w="4968"/>
          </w:tcPr>
          <w:p>
            <w:r>
              <w:rPr>
                <w:sz w:val="20"/>
              </w:rPr>
              <w:t>1.2.0</w:t>
            </w:r>
          </w:p>
        </w:tc>
      </w:tr>
    </w:tbl>
    <w:p/>
    <w:p>
      <w:pPr>
        <w:pStyle w:val="Heading1"/>
      </w:pPr>
      <w:r>
        <w:t>Method references</w:t>
      </w:r>
    </w:p>
    <w:p>
      <w:r>
        <w:t>Nextflow installation and execution: https://docs.seqera.io/nextflow/</w:t>
      </w:r>
    </w:p>
    <w:p>
      <w:r>
        <w:t>Statsmodels proportional hazards regression: https://www.statsmodels.org/stable/duration.html</w:t>
      </w:r>
    </w:p>
    <w:p>
      <w:r>
        <w:t>Statsmodels PHReg model: https://www.statsmodels.org/stable/generated/statsmodels.duration.hazard_regression.PHReg.html</w:t>
      </w:r>
    </w:p>
    <w:p>
      <w:r>
        <w:t>Statistical equations, assumptions and exact implementation are provided in docs/METHODS.md and the versioned source scripts.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Occupational exposure and respiratory disease surveillance</dc:title>
  <dc:subject>Synthetic cohort methodology and computational results</dc:subject>
  <dc:creator>OccuSurv NF</dc:creator>
  <cp:keywords/>
  <dc:description>generated by python-docx</dc:description>
  <cp:lastModifiedBy/>
  <cp:revision>1</cp:revision>
  <dcterms:created xsi:type="dcterms:W3CDTF">2013-12-23T23:15:00Z</dcterms:created>
  <dcterms:modified xsi:type="dcterms:W3CDTF">2013-12-23T23:15:00Z</dcterms:modified>
  <cp:category/>
</cp:coreProperties>
</file>