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1.png" ContentType="image/png"/>
  <Override PartName="/word/media/rId14.png" ContentType="image/png"/>
  <Override PartName="/word/media/rId18.png" ContentType="image/png"/>
  <Override PartName="/word/media/rId26.png" ContentType="image/png"/>
  <Override PartName="/word/media/rId42.png" ContentType="image/png"/>
  <Override PartName="/word/media/rId34.png" ContentType="image/png"/>
  <Override PartName="/word/media/rId30.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Occupational exposure and respiratory disease surveillance</w:t>
      </w:r>
    </w:p>
    <w:p>
      <w:pPr>
        <w:pStyle w:val="Subtitle"/>
      </w:pPr>
      <w:r>
        <w:t xml:space="preserve">Statistical analysis and reproducibility report</w:t>
      </w:r>
    </w:p>
    <w:p>
      <w:pPr>
        <w:pStyle w:val="FirstParagraph"/>
      </w:pPr>
      <w:r>
        <w:t xml:space="preserve">This report evaluates a reproducible occupational surveillance workflow using a synthetic cohort. It combines auditable quality control, exposure assessment, baseline survival analysis and a separate longitudinal competing-risk scenario. All observations and effect sizes are simulated; they do not estimate disease burden in any real workforce or imply NIOH endorsement.</w:t>
      </w:r>
    </w:p>
    <w:p>
      <w:pPr>
        <w:pStyle w:val="BodyText"/>
      </w:pPr>
      <w:r>
        <w:t xml:space="preserve">The baseline analysis retained</w:t>
      </w:r>
      <w:r>
        <w:t xml:space="preserve"> </w:t>
      </w:r>
      <w:r>
        <w:rPr>
          <w:b/>
          <w:bCs/>
        </w:rPr>
        <w:t xml:space="preserve">499 workers</w:t>
      </w:r>
      <w:r>
        <w:t xml:space="preserve">, with</w:t>
      </w:r>
      <w:r>
        <w:t xml:space="preserve"> </w:t>
      </w:r>
      <w:r>
        <w:rPr>
          <w:b/>
          <w:bCs/>
        </w:rPr>
        <w:t xml:space="preserve">137 incident diagnoses</w:t>
      </w:r>
      <w:r>
        <w:t xml:space="preserve"> </w:t>
      </w:r>
      <w:r>
        <w:t xml:space="preserve">over</w:t>
      </w:r>
      <w:r>
        <w:t xml:space="preserve"> </w:t>
      </w:r>
      <w:r>
        <w:rPr>
          <w:b/>
          <w:bCs/>
        </w:rPr>
        <w:t xml:space="preserve">2793.1 person-years</w:t>
      </w:r>
      <w:r>
        <w:t xml:space="preserve">. The longitudinal scenario followed</w:t>
      </w:r>
      <w:r>
        <w:t xml:space="preserve"> </w:t>
      </w:r>
      <w:r>
        <w:rPr>
          <w:b/>
          <w:bCs/>
        </w:rPr>
        <w:t xml:space="preserve">477 workers</w:t>
      </w:r>
      <w:r>
        <w:t xml:space="preserve">, with</w:t>
      </w:r>
      <w:r>
        <w:t xml:space="preserve"> </w:t>
      </w:r>
      <w:r>
        <w:rPr>
          <w:b/>
          <w:bCs/>
        </w:rPr>
        <w:t xml:space="preserve">93 diagnoses</w:t>
      </w:r>
      <w:r>
        <w:t xml:space="preserve"> </w:t>
      </w:r>
      <w:r>
        <w:t xml:space="preserve">and</w:t>
      </w:r>
      <w:r>
        <w:t xml:space="preserve"> </w:t>
      </w:r>
      <w:r>
        <w:rPr>
          <w:b/>
          <w:bCs/>
        </w:rPr>
        <w:t xml:space="preserve">83 competing deaths</w:t>
      </w:r>
      <w:r>
        <w:t xml:space="preserve">. R and Python agreed within prespecified numerical tolerances across</w:t>
      </w:r>
      <w:r>
        <w:t xml:space="preserve"> </w:t>
      </w:r>
      <w:r>
        <w:rPr>
          <w:b/>
          <w:bCs/>
        </w:rPr>
        <w:t xml:space="preserve">23 comparisons</w:t>
      </w:r>
      <w:r>
        <w:t xml:space="preserve">. This Word document is generated from executable Quarto source.</w:t>
      </w:r>
    </w:p>
    <w:bookmarkStart w:id="9" w:name="cohort-and-quality-control"/>
    <w:p>
      <w:pPr>
        <w:pStyle w:val="Heading2"/>
      </w:pPr>
      <w:r>
        <w:t xml:space="preserve">Cohort and quality control</w:t>
      </w:r>
    </w:p>
    <w:p>
      <w:pPr>
        <w:pStyle w:val="FirstParagraph"/>
      </w:pPr>
      <w:r>
        <w:t xml:space="preserve">Workers are allocated across construction, brick manufacture and stone fabrication. Age, employment duration, smoking and historical exposure are generated under fixed assumptions. Three noisy concentration measurements per worker support exposure summaries. Exact duplicate records are collapsed; conflicting identifiers fail validation. Eligibility, nonnegative concentrations, units, binary outcomes and follow-up chronology are checked. Missing smoking remains available for descriptive analyses but is excluded from regression.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right"/>
            </w:pPr>
            <w:r>
              <w:t xml:space="preserve">Value</w:t>
            </w:r>
          </w:p>
        </w:tc>
      </w:tr>
      <w:tr>
        <w:tc>
          <w:tcPr/>
          <w:p>
            <w:pPr>
              <w:pStyle w:val="Compact"/>
              <w:jc w:val="left"/>
            </w:pPr>
            <w:r>
              <w:t xml:space="preserve">Eligible workers</w:t>
            </w:r>
          </w:p>
        </w:tc>
        <w:tc>
          <w:tcPr/>
          <w:p>
            <w:pPr>
              <w:pStyle w:val="Compact"/>
              <w:jc w:val="right"/>
            </w:pPr>
            <w:r>
              <w:t xml:space="preserve">499.0</w:t>
            </w:r>
          </w:p>
        </w:tc>
      </w:tr>
      <w:tr>
        <w:tc>
          <w:tcPr/>
          <w:p>
            <w:pPr>
              <w:pStyle w:val="Compact"/>
              <w:jc w:val="left"/>
            </w:pPr>
            <w:r>
              <w:t xml:space="preserve">Baseline cases</w:t>
            </w:r>
          </w:p>
        </w:tc>
        <w:tc>
          <w:tcPr/>
          <w:p>
            <w:pPr>
              <w:pStyle w:val="Compact"/>
              <w:jc w:val="right"/>
            </w:pPr>
            <w:r>
              <w:t xml:space="preserve">22.0</w:t>
            </w:r>
          </w:p>
        </w:tc>
      </w:tr>
      <w:tr>
        <w:tc>
          <w:tcPr/>
          <w:p>
            <w:pPr>
              <w:pStyle w:val="Compact"/>
              <w:jc w:val="left"/>
            </w:pPr>
            <w:r>
              <w:t xml:space="preserve">Incident cohort</w:t>
            </w:r>
          </w:p>
        </w:tc>
        <w:tc>
          <w:tcPr/>
          <w:p>
            <w:pPr>
              <w:pStyle w:val="Compact"/>
              <w:jc w:val="right"/>
            </w:pPr>
            <w:r>
              <w:t xml:space="preserve">476.0</w:t>
            </w:r>
          </w:p>
        </w:tc>
      </w:tr>
      <w:tr>
        <w:tc>
          <w:tcPr/>
          <w:p>
            <w:pPr>
              <w:pStyle w:val="Compact"/>
              <w:jc w:val="left"/>
            </w:pPr>
            <w:r>
              <w:t xml:space="preserve">Incident events</w:t>
            </w:r>
          </w:p>
        </w:tc>
        <w:tc>
          <w:tcPr/>
          <w:p>
            <w:pPr>
              <w:pStyle w:val="Compact"/>
              <w:jc w:val="right"/>
            </w:pPr>
            <w:r>
              <w:t xml:space="preserve">137.0</w:t>
            </w:r>
          </w:p>
        </w:tc>
      </w:tr>
      <w:tr>
        <w:tc>
          <w:tcPr/>
          <w:p>
            <w:pPr>
              <w:pStyle w:val="Compact"/>
              <w:jc w:val="left"/>
            </w:pPr>
            <w:r>
              <w:t xml:space="preserve">Person years</w:t>
            </w:r>
          </w:p>
        </w:tc>
        <w:tc>
          <w:tcPr/>
          <w:p>
            <w:pPr>
              <w:pStyle w:val="Compact"/>
              <w:jc w:val="right"/>
            </w:pPr>
            <w:r>
              <w:t xml:space="preserve">2793.1</w:t>
            </w:r>
          </w:p>
        </w:tc>
      </w:tr>
      <w:tr>
        <w:tc>
          <w:tcPr/>
          <w:p>
            <w:pPr>
              <w:pStyle w:val="Compact"/>
              <w:jc w:val="left"/>
            </w:pPr>
            <w:r>
              <w:t xml:space="preserve">Complete case model events</w:t>
            </w:r>
          </w:p>
        </w:tc>
        <w:tc>
          <w:tcPr/>
          <w:p>
            <w:pPr>
              <w:pStyle w:val="Compact"/>
              <w:jc w:val="right"/>
            </w:pPr>
            <w:r>
              <w:t xml:space="preserve">130.0</w:t>
            </w:r>
          </w:p>
        </w:tc>
      </w:tr>
    </w:tbl>
    <w:p>
      <w:pPr>
        <w:pStyle w:val="BodyText"/>
      </w:pPr>
      <w:r>
        <w:t xml:space="preserve">The incident baseline cohort excludes prevalent disease and invalid follow-up. The longitudinal scenario generates new outcomes on baseline disease-free workers, including workers whose original follow-up was invalid. These scenarios are not consecutive follow-up or paired counterfactual outcomes.</w:t>
      </w:r>
    </w:p>
    <w:p>
      <w:r>
        <w:br w:type="page"/>
      </w:r>
    </w:p>
    <w:bookmarkEnd w:id="9"/>
    <w:bookmarkStart w:id="10" w:name="statistical-specification"/>
    <w:p>
      <w:pPr>
        <w:pStyle w:val="Heading2"/>
      </w:pPr>
      <w:r>
        <w:t xml:space="preserve">Statistical specification</w:t>
      </w:r>
    </w:p>
    <w:p>
      <w:pPr>
        <w:pStyle w:val="FirstParagraph"/>
      </w:pPr>
      <w:r>
        <w:t xml:space="preserve">Historical concentration</w:t>
      </w:r>
      <w:r>
        <w:t xml:space="preserve"> </w:t>
      </w:r>
      <m:oMath>
        <m:sSub>
          <m:e>
            <m:r>
              <m:t>c</m:t>
            </m:r>
          </m:e>
          <m:sub>
            <m:r>
              <m:t>i</m:t>
            </m:r>
          </m:sub>
        </m:sSub>
      </m:oMath>
      <w:r>
        <w:t xml:space="preserve"> </w:t>
      </w:r>
      <w:r>
        <w:t xml:space="preserve">and employment duration</w:t>
      </w:r>
      <w:r>
        <w:t xml:space="preserve"> </w:t>
      </w:r>
      <m:oMath>
        <m:sSub>
          <m:e>
            <m:r>
              <m:t>d</m:t>
            </m:r>
          </m:e>
          <m:sub>
            <m:r>
              <m:t>i</m:t>
            </m:r>
          </m:sub>
        </m:sSub>
      </m:oMath>
      <w:r>
        <w:t xml:space="preserve"> </w:t>
      </w:r>
      <w:r>
        <w:t xml:space="preserve">define five-year lagged cumulative exposure. The reference unit is</w:t>
      </w:r>
      <w:r>
        <w:t xml:space="preserve"> </w:t>
      </w:r>
      <m:oMath>
        <m:sSub>
          <m:e>
            <m:r>
              <m:t>C</m:t>
            </m:r>
          </m:e>
          <m:sub>
            <m:r>
              <m:t>0</m:t>
            </m:r>
          </m:sub>
        </m:sSub>
        <m:r>
          <m:rPr>
            <m:sty m:val="p"/>
          </m:rPr>
          <m:t>=</m:t>
        </m:r>
        <m:r>
          <m:t>1</m:t>
        </m:r>
        <m:r>
          <m:t> </m:t>
        </m:r>
        <m:r>
          <m:rPr>
            <m:sty m:val="p"/>
          </m:rPr>
          <m:t>m</m:t>
        </m:r>
        <m:r>
          <m:rPr>
            <m:sty m:val="p"/>
          </m:rPr>
          <m:t>g</m:t>
        </m:r>
        <m:r>
          <m:rPr>
            <m:sty m:val="p"/>
          </m:rPr>
          <m:t> </m:t>
        </m:r>
        <m:r>
          <m:rPr>
            <m:sty m:val="p"/>
          </m:rPr>
          <m:t>y</m:t>
        </m:r>
        <m:r>
          <m:rPr>
            <m:sty m:val="p"/>
          </m:rPr>
          <m:t>e</m:t>
        </m:r>
        <m:r>
          <m:rPr>
            <m:sty m:val="p"/>
          </m:rPr>
          <m:t>a</m:t>
        </m:r>
        <m:r>
          <m:rPr>
            <m:sty m:val="p"/>
          </m:rPr>
          <m:t>r</m:t>
        </m:r>
        <m:r>
          <m:rPr>
            <m:sty m:val="p"/>
          </m:rPr>
          <m:t>/</m:t>
        </m:r>
        <m:sSup>
          <m:e>
            <m:r>
              <m:rPr>
                <m:sty m:val="p"/>
              </m:rPr>
              <m:t>m</m:t>
            </m:r>
          </m:e>
          <m:sup>
            <m:r>
              <m:rPr>
                <m:sty m:val="p"/>
              </m:rPr>
              <m:t>3</m:t>
            </m:r>
          </m:sup>
        </m:sSup>
      </m:oMath>
      <w:r>
        <w:t xml:space="preserve">:</w:t>
      </w:r>
    </w:p>
    <w:p>
      <w:pPr>
        <w:pStyle w:val="BodyText"/>
      </w:pPr>
      <m:oMathPara>
        <m:oMathParaPr>
          <m:jc m:val="center"/>
        </m:oMathParaPr>
        <m:oMath>
          <m:sSub>
            <m:e>
              <m:r>
                <m:t>C</m:t>
              </m:r>
            </m:e>
            <m:sub>
              <m:r>
                <m:t>i</m:t>
              </m:r>
            </m:sub>
          </m:sSub>
          <m:r>
            <m:rPr>
              <m:sty m:val="p"/>
            </m:rPr>
            <m:t>=</m:t>
          </m:r>
          <m:sSub>
            <m:e>
              <m:r>
                <m:t>c</m:t>
              </m:r>
            </m:e>
            <m:sub>
              <m:r>
                <m:t>i</m:t>
              </m:r>
            </m:sub>
          </m:sSub>
          <m:r>
            <m:rPr>
              <m:sty m:val="p"/>
            </m:rPr>
            <m:t>max</m:t>
          </m:r>
          <m:r>
            <m:rPr>
              <m:sty m:val="p"/>
            </m:rPr>
            <m:t>(</m:t>
          </m:r>
          <m:sSub>
            <m:e>
              <m:r>
                <m:t>d</m:t>
              </m:r>
            </m:e>
            <m:sub>
              <m:r>
                <m:t>i</m:t>
              </m:r>
            </m:sub>
          </m:sSub>
          <m:r>
            <m:rPr>
              <m:sty m:val="p"/>
            </m:rPr>
            <m:t>−</m:t>
          </m:r>
          <m:r>
            <m:t>5</m:t>
          </m:r>
          <m:r>
            <m:rPr>
              <m:sty m:val="p"/>
            </m:rPr>
            <m:t>,</m:t>
          </m:r>
          <m:r>
            <m:t>0</m:t>
          </m:r>
          <m:r>
            <m:rPr>
              <m:sty m:val="p"/>
            </m:rPr>
            <m:t>)</m:t>
          </m:r>
          <m:r>
            <m:rPr>
              <m:sty m:val="p"/>
            </m:rPr>
            <m:t>,</m:t>
          </m:r>
          <m:r>
            <m:t>  </m:t>
          </m:r>
          <m:sSub>
            <m:e>
              <m:r>
                <m:t>x</m:t>
              </m:r>
            </m:e>
            <m:sub>
              <m:r>
                <m:t>i</m:t>
              </m:r>
            </m:sub>
          </m:sSub>
          <m:r>
            <m:rPr>
              <m:sty m:val="p"/>
            </m:rPr>
            <m:t>=</m:t>
          </m:r>
          <m:sSub>
            <m:e>
              <m:r>
                <m:rPr>
                  <m:sty m:val="p"/>
                </m:rPr>
                <m:t>log</m:t>
              </m:r>
            </m:e>
            <m:sub>
              <m:r>
                <m:t>2</m:t>
              </m:r>
            </m:sub>
          </m:sSub>
          <m:r>
            <m:rPr>
              <m:sty m:val="p"/>
            </m:rPr>
            <m:t>(</m:t>
          </m:r>
          <m:r>
            <m:t>1</m:t>
          </m:r>
          <m:r>
            <m:rPr>
              <m:sty m:val="p"/>
            </m:rPr>
            <m:t>+</m:t>
          </m:r>
          <m:sSub>
            <m:e>
              <m:r>
                <m:t>C</m:t>
              </m:r>
            </m:e>
            <m:sub>
              <m:r>
                <m:t>i</m:t>
              </m:r>
            </m:sub>
          </m:sSub>
          <m:r>
            <m:rPr>
              <m:sty m:val="p"/>
            </m:rPr>
            <m:t>/</m:t>
          </m:r>
          <m:sSub>
            <m:e>
              <m:r>
                <m:t>C</m:t>
              </m:r>
            </m:e>
            <m:sub>
              <m:r>
                <m:t>0</m:t>
              </m:r>
            </m:sub>
          </m:sSub>
          <m:r>
            <m:rPr>
              <m:sty m:val="p"/>
            </m:rPr>
            <m:t>)</m:t>
          </m:r>
          <m:r>
            <m:rPr>
              <m:sty m:val="p"/>
            </m:rPr>
            <m:t>.</m:t>
          </m:r>
        </m:oMath>
      </m:oMathPara>
    </w:p>
    <w:p>
      <w:pPr>
        <w:pStyle w:val="FirstParagraph"/>
      </w:pPr>
      <w:r>
        <w:t xml:space="preserve">Baseline diagnosis times use a Weibull proportional-hazards generator, with</w:t>
      </w:r>
      <w:r>
        <w:t xml:space="preserve"> </w:t>
      </w:r>
      <m:oMath>
        <m:sSub>
          <m:e>
            <m:r>
              <m:t>a</m:t>
            </m:r>
          </m:e>
          <m:sub>
            <m:r>
              <m:t>i</m:t>
            </m:r>
          </m:sub>
        </m:sSub>
        <m:r>
          <m:rPr>
            <m:sty m:val="p"/>
          </m:rPr>
          <m:t>=</m:t>
        </m:r>
        <m:r>
          <m:rPr>
            <m:sty m:val="p"/>
          </m:rPr>
          <m:t>(</m:t>
        </m:r>
        <m:sSub>
          <m:e>
            <m:r>
              <m:rPr>
                <m:sty m:val="p"/>
              </m:rPr>
              <m:t>a</m:t>
            </m:r>
            <m:r>
              <m:rPr>
                <m:sty m:val="p"/>
              </m:rPr>
              <m:t>g</m:t>
            </m:r>
            <m:r>
              <m:rPr>
                <m:sty m:val="p"/>
              </m:rPr>
              <m:t>e</m:t>
            </m:r>
          </m:e>
          <m:sub>
            <m:r>
              <m:t>i</m:t>
            </m:r>
          </m:sub>
        </m:sSub>
        <m:r>
          <m:rPr>
            <m:sty m:val="p"/>
          </m:rPr>
          <m:t>−</m:t>
        </m:r>
        <m:r>
          <m:t>45</m:t>
        </m:r>
        <m:r>
          <m:rPr>
            <m:sty m:val="p"/>
          </m:rPr>
          <m:t>)</m:t>
        </m:r>
        <m:r>
          <m:rPr>
            <m:sty m:val="p"/>
          </m:rPr>
          <m:t>/</m:t>
        </m:r>
        <m:r>
          <m:t>10</m:t>
        </m:r>
      </m:oMath>
      <w:r>
        <w:t xml:space="preserve"> </w:t>
      </w:r>
      <w:r>
        <w:t xml:space="preserve">and smoking indicator</w:t>
      </w:r>
      <w:r>
        <w:t xml:space="preserve"> </w:t>
      </w:r>
      <m:oMath>
        <m:sSub>
          <m:e>
            <m:r>
              <m:t>s</m:t>
            </m:r>
          </m:e>
          <m:sub>
            <m:r>
              <m:t>i</m:t>
            </m:r>
          </m:sub>
        </m:sSub>
      </m:oMath>
      <w:r>
        <w:t xml:space="preserve">:</w:t>
      </w:r>
    </w:p>
    <w:p>
      <w:pPr>
        <w:pStyle w:val="BodyText"/>
      </w:pPr>
      <m:oMathPara>
        <m:oMathParaPr>
          <m:jc m:val="center"/>
        </m:oMathParaPr>
        <m:oMath>
          <m:sSub>
            <m:e>
              <m:r>
                <m:t>h</m:t>
              </m:r>
            </m:e>
            <m:sub>
              <m:r>
                <m:t>i</m:t>
              </m:r>
            </m:sub>
          </m:sSub>
          <m:r>
            <m:rPr>
              <m:sty m:val="p"/>
            </m:rPr>
            <m:t>(</m:t>
          </m:r>
          <m:r>
            <m:t>t</m:t>
          </m:r>
          <m:r>
            <m:rPr>
              <m:sty m:val="p"/>
            </m:rPr>
            <m:t>)</m:t>
          </m:r>
          <m:r>
            <m:rPr>
              <m:sty m:val="p"/>
            </m:rPr>
            <m:t>=</m:t>
          </m:r>
          <m:r>
            <m:t>1.4</m:t>
          </m:r>
          <m:r>
            <m:rPr>
              <m:sty m:val="p"/>
            </m:rPr>
            <m:t>(</m:t>
          </m:r>
          <m:r>
            <m:t>0.012</m:t>
          </m:r>
          <m:r>
            <m:rPr>
              <m:sty m:val="p"/>
            </m:rPr>
            <m:t>)</m:t>
          </m:r>
          <m:sSup>
            <m:e>
              <m:r>
                <m:t>t</m:t>
              </m:r>
            </m:e>
            <m:sup>
              <m:r>
                <m:t>0.4</m:t>
              </m:r>
            </m:sup>
          </m:sSup>
          <m:r>
            <m:rPr>
              <m:sty m:val="p"/>
            </m:rPr>
            <m:t>exp</m:t>
          </m:r>
          <m:r>
            <m:rPr>
              <m:sty m:val="p"/>
            </m:rPr>
            <m:t>(</m:t>
          </m:r>
          <m:sSub>
            <m:e>
              <m:r>
                <m:t>η</m:t>
              </m:r>
            </m:e>
            <m:sub>
              <m:r>
                <m:t>i</m:t>
              </m:r>
            </m:sub>
          </m:sSub>
          <m:r>
            <m:rPr>
              <m:sty m:val="p"/>
            </m:rPr>
            <m:t>)</m:t>
          </m:r>
          <m:r>
            <m:rPr>
              <m:sty m:val="p"/>
            </m:rPr>
            <m:t>,</m:t>
          </m:r>
        </m:oMath>
      </m:oMathPara>
    </w:p>
    <w:p>
      <w:pPr>
        <w:pStyle w:val="FirstParagraph"/>
      </w:pPr>
      <m:oMathPara>
        <m:oMathParaPr>
          <m:jc m:val="center"/>
        </m:oMathParaPr>
        <m:oMath>
          <m:sSub>
            <m:e>
              <m:r>
                <m:t>η</m:t>
              </m:r>
            </m:e>
            <m:sub>
              <m:r>
                <m:t>i</m:t>
              </m:r>
            </m:sub>
          </m:sSub>
          <m:r>
            <m:rPr>
              <m:sty m:val="p"/>
            </m:rPr>
            <m:t>=</m:t>
          </m:r>
          <m:r>
            <m:rPr>
              <m:sty m:val="p"/>
            </m:rPr>
            <m:t>log</m:t>
          </m:r>
          <m:r>
            <m:rPr>
              <m:sty m:val="p"/>
            </m:rPr>
            <m:t>(</m:t>
          </m:r>
          <m:r>
            <m:t>1.7</m:t>
          </m:r>
          <m:r>
            <m:rPr>
              <m:sty m:val="p"/>
            </m:rPr>
            <m:t>)</m:t>
          </m:r>
          <m:sSub>
            <m:e>
              <m:r>
                <m:t>x</m:t>
              </m:r>
            </m:e>
            <m:sub>
              <m:r>
                <m:t>i</m:t>
              </m:r>
            </m:sub>
          </m:sSub>
          <m:r>
            <m:rPr>
              <m:sty m:val="p"/>
            </m:rPr>
            <m:t>+</m:t>
          </m:r>
          <m:r>
            <m:rPr>
              <m:sty m:val="p"/>
            </m:rPr>
            <m:t>log</m:t>
          </m:r>
          <m:r>
            <m:rPr>
              <m:sty m:val="p"/>
            </m:rPr>
            <m:t>(</m:t>
          </m:r>
          <m:r>
            <m:t>1.3</m:t>
          </m:r>
          <m:r>
            <m:rPr>
              <m:sty m:val="p"/>
            </m:rPr>
            <m:t>)</m:t>
          </m:r>
          <m:sSub>
            <m:e>
              <m:r>
                <m:t>a</m:t>
              </m:r>
            </m:e>
            <m:sub>
              <m:r>
                <m:t>i</m:t>
              </m:r>
            </m:sub>
          </m:sSub>
          <m:r>
            <m:rPr>
              <m:sty m:val="p"/>
            </m:rPr>
            <m:t>+</m:t>
          </m:r>
          <m:r>
            <m:rPr>
              <m:sty m:val="p"/>
            </m:rPr>
            <m:t>log</m:t>
          </m:r>
          <m:r>
            <m:rPr>
              <m:sty m:val="p"/>
            </m:rPr>
            <m:t>(</m:t>
          </m:r>
          <m:r>
            <m:t>1.5</m:t>
          </m:r>
          <m:r>
            <m:rPr>
              <m:sty m:val="p"/>
            </m:rPr>
            <m:t>)</m:t>
          </m:r>
          <m:sSub>
            <m:e>
              <m:r>
                <m:t>s</m:t>
              </m:r>
            </m:e>
            <m:sub>
              <m:r>
                <m:t>i</m:t>
              </m:r>
            </m:sub>
          </m:sSub>
          <m:r>
            <m:rPr>
              <m:sty m:val="p"/>
            </m:rPr>
            <m:t>.</m:t>
          </m:r>
        </m:oMath>
      </m:oMathPara>
    </w:p>
    <w:p>
      <w:pPr>
        <w:pStyle w:val="FirstParagraph"/>
      </w:pPr>
      <w:r>
        <w:t xml:space="preserve">Censoring is the minimum of eight years and an independent exponential draw with mean 25 years. Workplace effects influence exposure, with no unmeasured shared disease frailty. Conditional model-based covariance matches the simulation assumptions; real workplace clustering requires reassessment.</w:t>
      </w:r>
    </w:p>
    <w:p>
      <w:pPr>
        <w:pStyle w:val="BodyText"/>
      </w:pPr>
      <w:r>
        <w:t xml:space="preserve">Prevalence uses Wilson intervals. For</w:t>
      </w:r>
      <w:r>
        <w:t xml:space="preserve"> </w:t>
      </w:r>
      <m:oMath>
        <m:r>
          <m:t>D</m:t>
        </m:r>
      </m:oMath>
      <w:r>
        <w:t xml:space="preserve"> </w:t>
      </w:r>
      <w:r>
        <w:t xml:space="preserve">diagnoses over</w:t>
      </w:r>
      <w:r>
        <w:t xml:space="preserve"> </w:t>
      </w:r>
      <m:oMath>
        <m:r>
          <m:t>P</m:t>
        </m:r>
        <m:r>
          <m:t>Y</m:t>
        </m:r>
      </m:oMath>
      <w:r>
        <w:t xml:space="preserve"> </w:t>
      </w:r>
      <w:r>
        <w:t xml:space="preserve">person-years, incidence is</w:t>
      </w:r>
      <w:r>
        <w:t xml:space="preserve"> </w:t>
      </w:r>
      <m:oMath>
        <m:r>
          <m:t>1000</m:t>
        </m:r>
        <m:r>
          <m:t>D</m:t>
        </m:r>
        <m:r>
          <m:rPr>
            <m:sty m:val="p"/>
          </m:rPr>
          <m:t>/</m:t>
        </m:r>
        <m:r>
          <m:t>P</m:t>
        </m:r>
        <m:r>
          <m:t>Y</m:t>
        </m:r>
      </m:oMath>
      <w:r>
        <w:t xml:space="preserve">, with exact Poisson bounds:</w:t>
      </w:r>
    </w:p>
    <w:p>
      <w:pPr>
        <w:pStyle w:val="BodyText"/>
      </w:pPr>
      <m:oMathPara>
        <m:oMathParaPr>
          <m:jc m:val="center"/>
        </m:oMathParaPr>
        <m:oMath>
          <m:f>
            <m:fPr>
              <m:type m:val="bar"/>
            </m:fPr>
            <m:num>
              <m:r>
                <m:t>1000</m:t>
              </m:r>
            </m:num>
            <m:den>
              <m:r>
                <m:t>2</m:t>
              </m:r>
              <m:r>
                <m:t>P</m:t>
              </m:r>
              <m:r>
                <m:t>Y</m:t>
              </m:r>
            </m:den>
          </m:f>
          <m:d>
            <m:dPr>
              <m:begChr m:val="["/>
              <m:sepChr m:val=""/>
              <m:endChr m:val="]"/>
              <m:grow/>
            </m:dPr>
            <m:e>
              <m:sSubSup>
                <m:e>
                  <m:r>
                    <m:t>χ</m:t>
                  </m:r>
                </m:e>
                <m:sub>
                  <m:r>
                    <m:t>2</m:t>
                  </m:r>
                  <m:r>
                    <m:t>D</m:t>
                  </m:r>
                  <m:r>
                    <m:rPr>
                      <m:sty m:val="p"/>
                    </m:rPr>
                    <m:t>,</m:t>
                  </m:r>
                  <m:r>
                    <m:t>0.025</m:t>
                  </m:r>
                </m:sub>
                <m:sup>
                  <m:r>
                    <m:t>2</m:t>
                  </m:r>
                </m:sup>
              </m:sSubSup>
              <m:r>
                <m:rPr>
                  <m:sty m:val="p"/>
                </m:rPr>
                <m:t>,</m:t>
              </m:r>
              <m:sSubSup>
                <m:e>
                  <m:r>
                    <m:t>χ</m:t>
                  </m:r>
                </m:e>
                <m:sub>
                  <m:r>
                    <m:t>2</m:t>
                  </m:r>
                  <m:r>
                    <m:rPr>
                      <m:sty m:val="p"/>
                    </m:rPr>
                    <m:t>(</m:t>
                  </m:r>
                  <m:r>
                    <m:t>D</m:t>
                  </m:r>
                  <m:r>
                    <m:rPr>
                      <m:sty m:val="p"/>
                    </m:rPr>
                    <m:t>+</m:t>
                  </m:r>
                  <m:r>
                    <m:t>1</m:t>
                  </m:r>
                  <m:r>
                    <m:rPr>
                      <m:sty m:val="p"/>
                    </m:rPr>
                    <m:t>)</m:t>
                  </m:r>
                  <m:r>
                    <m:rPr>
                      <m:sty m:val="p"/>
                    </m:rPr>
                    <m:t>,</m:t>
                  </m:r>
                  <m:r>
                    <m:t>0.975</m:t>
                  </m:r>
                </m:sub>
                <m:sup>
                  <m:r>
                    <m:t>2</m:t>
                  </m:r>
                </m:sup>
              </m:sSubSup>
            </m:e>
          </m:d>
          <m:r>
            <m:rPr>
              <m:sty m:val="p"/>
            </m:rPr>
            <m:t>.</m:t>
          </m:r>
        </m:oMath>
      </m:oMathPara>
    </w:p>
    <w:p>
      <w:pPr>
        <w:pStyle w:val="FirstParagraph"/>
      </w:pPr>
      <w:r>
        <w:t xml:space="preserve">The lower bound is zero when</w:t>
      </w:r>
      <w:r>
        <w:t xml:space="preserve"> </w:t>
      </w:r>
      <m:oMath>
        <m:r>
          <m:t>D</m:t>
        </m:r>
        <m:r>
          <m:rPr>
            <m:sty m:val="p"/>
          </m:rPr>
          <m:t>=</m:t>
        </m:r>
        <m:r>
          <m:t>0</m:t>
        </m:r>
      </m:oMath>
      <w:r>
        <w:t xml:space="preserve">. Kaplan–Meier survival is</w:t>
      </w:r>
      <w:r>
        <w:t xml:space="preserve"> </w:t>
      </w:r>
      <m:oMath>
        <m:acc>
          <m:accPr>
            <m:chr m:val="̂"/>
          </m:accPr>
          <m:e>
            <m:r>
              <m:t>S</m:t>
            </m:r>
          </m:e>
        </m:acc>
        <m:r>
          <m:rPr>
            <m:sty m:val="p"/>
          </m:rPr>
          <m:t>(</m:t>
        </m:r>
        <m:r>
          <m:t>t</m:t>
        </m:r>
        <m:r>
          <m:rPr>
            <m:sty m:val="p"/>
          </m:rPr>
          <m:t>)</m:t>
        </m:r>
        <m:r>
          <m:rPr>
            <m:sty m:val="p"/>
          </m:rPr>
          <m:t>=</m:t>
        </m:r>
        <m:nary>
          <m:naryPr>
            <m:chr m:val="∏"/>
            <m:limLoc m:val="undOvr"/>
            <m:subHide m:val="off"/>
            <m:supHide m:val="on"/>
          </m:naryPr>
          <m:sub>
            <m:sSub>
              <m:e>
                <m:r>
                  <m:t>t</m:t>
                </m:r>
              </m:e>
              <m:sub>
                <m:r>
                  <m:t>j</m:t>
                </m:r>
              </m:sub>
            </m:sSub>
            <m:r>
              <m:rPr>
                <m:sty m:val="p"/>
              </m:rPr>
              <m:t>≤</m:t>
            </m:r>
            <m:r>
              <m:t>t</m:t>
            </m:r>
          </m:sub>
          <m:sup>
            <m:r>
              <m:t>​</m:t>
            </m:r>
          </m:sup>
          <m:e>
            <m:r>
              <m:rPr>
                <m:sty m:val="p"/>
              </m:rPr>
              <m:t>(</m:t>
            </m:r>
          </m:e>
        </m:nary>
        <m:r>
          <m:t>1</m:t>
        </m:r>
        <m:r>
          <m:rPr>
            <m:sty m:val="p"/>
          </m:rPr>
          <m:t>−</m:t>
        </m:r>
        <m:sSub>
          <m:e>
            <m:r>
              <m:t>d</m:t>
            </m:r>
          </m:e>
          <m:sub>
            <m:r>
              <m:t>j</m:t>
            </m:r>
          </m:sub>
        </m:sSub>
        <m:r>
          <m:rPr>
            <m:sty m:val="p"/>
          </m:rPr>
          <m:t>/</m:t>
        </m:r>
        <m:sSub>
          <m:e>
            <m:r>
              <m:t>n</m:t>
            </m:r>
          </m:e>
          <m:sub>
            <m:r>
              <m:t>j</m:t>
            </m:r>
          </m:sub>
        </m:sSub>
        <m:r>
          <m:rPr>
            <m:sty m:val="p"/>
          </m:rPr>
          <m:t>)</m:t>
        </m:r>
      </m:oMath>
      <w:r>
        <w:t xml:space="preserve">. Log-log intervals use Greenwood variance and the normal 97.5th percentile. These are pointwise intervals, not simultaneous bands.</w:t>
      </w:r>
    </w:p>
    <w:p>
      <w:pPr>
        <w:pStyle w:val="BodyText"/>
      </w:pPr>
      <w:r>
        <w:t xml:space="preserve">R</w:t>
      </w:r>
      <w:r>
        <w:t xml:space="preserve"> </w:t>
      </w:r>
      <w:r>
        <w:rPr>
          <w:rStyle w:val="VerbatimChar"/>
        </w:rPr>
        <w:t xml:space="preserve">survival::coxph</w:t>
      </w:r>
      <w:r>
        <w:t xml:space="preserve"> </w:t>
      </w:r>
      <w:r>
        <w:t xml:space="preserve">maximises the Breslow partial likelihood. For cause</w:t>
      </w:r>
      <w:r>
        <w:t xml:space="preserve"> </w:t>
      </w:r>
      <m:oMath>
        <m:r>
          <m:t>k</m:t>
        </m:r>
      </m:oMath>
      <w:r>
        <w:t xml:space="preserve">, event count</w:t>
      </w:r>
      <w:r>
        <w:t xml:space="preserve"> </w:t>
      </w:r>
      <m:oMath>
        <m:sSub>
          <m:e>
            <m:r>
              <m:t>d</m:t>
            </m:r>
          </m:e>
          <m:sub>
            <m:r>
              <m:t>j</m:t>
            </m:r>
            <m:r>
              <m:t>k</m:t>
            </m:r>
          </m:sub>
        </m:sSub>
      </m:oMath>
      <w:r>
        <w:t xml:space="preserve"> </w:t>
      </w:r>
      <w:r>
        <w:t xml:space="preserve">and event set</w:t>
      </w:r>
      <w:r>
        <w:t xml:space="preserve"> </w:t>
      </w:r>
      <m:oMath>
        <m:sSub>
          <m:e>
            <m:r>
              <m:t>D</m:t>
            </m:r>
          </m:e>
          <m:sub>
            <m:r>
              <m:t>j</m:t>
            </m:r>
            <m:r>
              <m:t>k</m:t>
            </m:r>
          </m:sub>
        </m:sSub>
      </m:oMath>
      <w:r>
        <w:t xml:space="preserve">:</w:t>
      </w:r>
    </w:p>
    <w:p>
      <w:pPr>
        <w:pStyle w:val="BodyText"/>
      </w:pPr>
      <m:oMathPara>
        <m:oMathParaPr>
          <m:jc m:val="center"/>
        </m:oMathParaPr>
        <m:oMath>
          <m:sSub>
            <m:e>
              <m:r>
                <m:t>ℓ</m:t>
              </m:r>
            </m:e>
            <m:sub>
              <m:r>
                <m:t>k</m:t>
              </m:r>
            </m:sub>
          </m:sSub>
          <m:r>
            <m:rPr>
              <m:sty m:val="p"/>
            </m:rPr>
            <m:t>(</m:t>
          </m:r>
          <m:r>
            <m:t>β</m:t>
          </m:r>
          <m:r>
            <m:rPr>
              <m:sty m:val="p"/>
            </m:rPr>
            <m:t>)</m:t>
          </m:r>
          <m:r>
            <m:rPr>
              <m:sty m:val="p"/>
            </m:rPr>
            <m:t>=</m:t>
          </m:r>
          <m:nary>
            <m:naryPr>
              <m:chr m:val="∑"/>
              <m:limLoc m:val="undOvr"/>
              <m:subHide m:val="off"/>
              <m:supHide m:val="on"/>
            </m:naryPr>
            <m:sub>
              <m:r>
                <m:t>j</m:t>
              </m:r>
            </m:sub>
            <m:sup>
              <m:r>
                <m:t>​</m:t>
              </m:r>
            </m:sup>
            <m:e>
              <m:d>
                <m:dPr>
                  <m:begChr m:val="["/>
                  <m:sepChr m:val=""/>
                  <m:endChr m:val="]"/>
                  <m:grow/>
                </m:dPr>
                <m:e>
                  <m:nary>
                    <m:naryPr>
                      <m:chr m:val="∑"/>
                      <m:limLoc m:val="undOvr"/>
                      <m:subHide m:val="off"/>
                      <m:supHide m:val="on"/>
                    </m:naryPr>
                    <m:sub>
                      <m:r>
                        <m:t>i</m:t>
                      </m:r>
                      <m:r>
                        <m:rPr>
                          <m:sty m:val="p"/>
                        </m:rPr>
                        <m:t>∈</m:t>
                      </m:r>
                      <m:sSub>
                        <m:e>
                          <m:r>
                            <m:t>D</m:t>
                          </m:r>
                        </m:e>
                        <m:sub>
                          <m:r>
                            <m:t>j</m:t>
                          </m:r>
                          <m:r>
                            <m:t>k</m:t>
                          </m:r>
                        </m:sub>
                      </m:sSub>
                    </m:sub>
                    <m:sup>
                      <m:r>
                        <m:t>​</m:t>
                      </m:r>
                    </m:sup>
                    <m:e>
                      <m:sSub>
                        <m:e>
                          <m:r>
                            <m:t>X</m:t>
                          </m:r>
                        </m:e>
                        <m:sub>
                          <m:r>
                            <m:t>i</m:t>
                          </m:r>
                        </m:sub>
                      </m:sSub>
                    </m:e>
                  </m:nary>
                  <m:r>
                    <m:rPr>
                      <m:sty m:val="p"/>
                    </m:rPr>
                    <m:t>(</m:t>
                  </m:r>
                  <m:sSub>
                    <m:e>
                      <m:r>
                        <m:t>t</m:t>
                      </m:r>
                    </m:e>
                    <m:sub>
                      <m:r>
                        <m:t>j</m:t>
                      </m:r>
                    </m:sub>
                  </m:sSub>
                  <m:sSup>
                    <m:e>
                      <m:r>
                        <m:rPr>
                          <m:sty m:val="p"/>
                        </m:rPr>
                        <m:t>)</m:t>
                      </m:r>
                    </m:e>
                    <m:sup>
                      <m:r>
                        <m:t>T</m:t>
                      </m:r>
                    </m:sup>
                  </m:sSup>
                  <m:r>
                    <m:t>β</m:t>
                  </m:r>
                  <m:r>
                    <m:rPr>
                      <m:sty m:val="p"/>
                    </m:rPr>
                    <m:t>−</m:t>
                  </m:r>
                  <m:sSub>
                    <m:e>
                      <m:r>
                        <m:t>d</m:t>
                      </m:r>
                    </m:e>
                    <m:sub>
                      <m:r>
                        <m:t>j</m:t>
                      </m:r>
                      <m:r>
                        <m:t>k</m:t>
                      </m:r>
                    </m:sub>
                  </m:sSub>
                  <m:r>
                    <m:rPr>
                      <m:sty m:val="p"/>
                    </m:rPr>
                    <m:t>log</m:t>
                  </m:r>
                  <m:nary>
                    <m:naryPr>
                      <m:chr m:val="∑"/>
                      <m:limLoc m:val="undOvr"/>
                      <m:subHide m:val="off"/>
                      <m:supHide m:val="on"/>
                    </m:naryPr>
                    <m:sub>
                      <m:r>
                        <m:t>i</m:t>
                      </m:r>
                      <m:r>
                        <m:rPr>
                          <m:sty m:val="p"/>
                        </m:rPr>
                        <m:t>∈</m:t>
                      </m:r>
                      <m:r>
                        <m:t>R</m:t>
                      </m:r>
                      <m:r>
                        <m:rPr>
                          <m:sty m:val="p"/>
                        </m:rPr>
                        <m:t>(</m:t>
                      </m:r>
                      <m:sSub>
                        <m:e>
                          <m:r>
                            <m:t>t</m:t>
                          </m:r>
                        </m:e>
                        <m:sub>
                          <m:r>
                            <m:t>j</m:t>
                          </m:r>
                        </m:sub>
                      </m:sSub>
                      <m:r>
                        <m:rPr>
                          <m:sty m:val="p"/>
                        </m:rPr>
                        <m:t>)</m:t>
                      </m:r>
                    </m:sub>
                    <m:sup>
                      <m:r>
                        <m:t>​</m:t>
                      </m:r>
                    </m:sup>
                    <m:e>
                      <m:sSup>
                        <m:e>
                          <m:r>
                            <m:t>e</m:t>
                          </m:r>
                        </m:e>
                        <m:sup>
                          <m:sSub>
                            <m:e>
                              <m:r>
                                <m:t>X</m:t>
                              </m:r>
                            </m:e>
                            <m:sub>
                              <m:r>
                                <m:t>i</m:t>
                              </m:r>
                            </m:sub>
                          </m:sSub>
                          <m:r>
                            <m:rPr>
                              <m:sty m:val="p"/>
                            </m:rPr>
                            <m:t>(</m:t>
                          </m:r>
                          <m:sSub>
                            <m:e>
                              <m:r>
                                <m:t>t</m:t>
                              </m:r>
                            </m:e>
                            <m:sub>
                              <m:r>
                                <m:t>j</m:t>
                              </m:r>
                            </m:sub>
                          </m:sSub>
                          <m:sSup>
                            <m:e>
                              <m:r>
                                <m:rPr>
                                  <m:sty m:val="p"/>
                                </m:rPr>
                                <m:t>)</m:t>
                              </m:r>
                            </m:e>
                            <m:sup>
                              <m:r>
                                <m:t>T</m:t>
                              </m:r>
                            </m:sup>
                          </m:sSup>
                          <m:r>
                            <m:t>β</m:t>
                          </m:r>
                        </m:sup>
                      </m:sSup>
                    </m:e>
                  </m:nary>
                </m:e>
              </m:d>
            </m:e>
          </m:nary>
          <m:r>
            <m:rPr>
              <m:sty m:val="p"/>
            </m:rPr>
            <m:t>.</m:t>
          </m:r>
        </m:oMath>
      </m:oMathPara>
    </w:p>
    <w:p>
      <w:pPr>
        <w:pStyle w:val="FirstParagraph"/>
      </w:pPr>
      <w:r>
        <w:t xml:space="preserve">Newton updates solve the score equations using observed information. We require finite coefficients and standard errors and a maximum absolute score below</w:t>
      </w:r>
      <w:r>
        <w:t xml:space="preserve"> </w:t>
      </w:r>
      <m:oMath>
        <m:sSup>
          <m:e>
            <m:r>
              <m:t>10</m:t>
            </m:r>
          </m:e>
          <m:sup>
            <m:r>
              <m:rPr>
                <m:sty m:val="p"/>
              </m:rPr>
              <m:t>−</m:t>
            </m:r>
            <m:r>
              <m:t>4</m:t>
            </m:r>
          </m:sup>
        </m:sSup>
      </m:oMath>
      <w:r>
        <w:t xml:space="preserve">. Wald intervals use the normal critical value. Each model requires 30 complete-case cause-specific events; this computational guard is not a sample-size justification.</w:t>
      </w:r>
    </w:p>
    <w:p>
      <w:r>
        <w:br w:type="page"/>
      </w:r>
    </w:p>
    <w:bookmarkEnd w:id="10"/>
    <w:bookmarkStart w:id="17" w:name="baseline-exposure-and-incidence"/>
    <w:p>
      <w:pPr>
        <w:pStyle w:val="Heading2"/>
      </w:pPr>
      <w:r>
        <w:t xml:space="preserve">Baseline exposure and incidence</w:t>
      </w:r>
    </w:p>
    <w:p>
      <w:pPr>
        <w:pStyle w:val="CaptionedFigure"/>
      </w:pPr>
      <w:r>
        <w:drawing>
          <wp:inline>
            <wp:extent cx="5669280" cy="3047238"/>
            <wp:effectExtent b="0" l="0" r="0" t="0"/>
            <wp:docPr descr="Worker mean baseline exposure by industry." title="" id="12" name="Picture"/>
            <a:graphic>
              <a:graphicData uri="http://schemas.openxmlformats.org/drawingml/2006/picture">
                <pic:pic>
                  <pic:nvPicPr>
                    <pic:cNvPr descr="figures/exposure.png" id="13" name="Picture"/>
                    <pic:cNvPicPr>
                      <a:picLocks noChangeArrowheads="1" noChangeAspect="1"/>
                    </pic:cNvPicPr>
                  </pic:nvPicPr>
                  <pic:blipFill>
                    <a:blip r:embed="rId11"/>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Worker mean baseline exposure by industry.</w:t>
      </w:r>
    </w:p>
    <w:p>
      <w:pPr>
        <w:pStyle w:val="CaptionedFigure"/>
      </w:pPr>
      <w:r>
        <w:drawing>
          <wp:inline>
            <wp:extent cx="5669280" cy="3047238"/>
            <wp:effectExtent b="0" l="0" r="0" t="0"/>
            <wp:docPr descr="Crude incidence rates with exact Poisson intervals." title="" id="15" name="Picture"/>
            <a:graphic>
              <a:graphicData uri="http://schemas.openxmlformats.org/drawingml/2006/picture">
                <pic:pic>
                  <pic:nvPicPr>
                    <pic:cNvPr descr="figures/incidence.png" id="16" name="Picture"/>
                    <pic:cNvPicPr>
                      <a:picLocks noChangeArrowheads="1" noChangeAspect="1"/>
                    </pic:cNvPicPr>
                  </pic:nvPicPr>
                  <pic:blipFill>
                    <a:blip r:embed="rId14"/>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Crude incidence rates with exact Poisson intervals.</w:t>
      </w:r>
    </w:p>
    <w:p>
      <w:pPr>
        <w:pStyle w:val="BodyText"/>
      </w:pPr>
      <w:r>
        <w:t xml:space="preserve">Exposure summaries use recent measurements. Regression instead uses known historical exposure in the simulation. Neither exposure measurement error nor industry-specific causal effects are addressed.</w:t>
      </w:r>
    </w:p>
    <w:p>
      <w:r>
        <w:br w:type="page"/>
      </w:r>
    </w:p>
    <w:bookmarkEnd w:id="17"/>
    <w:bookmarkStart w:id="21" w:name="baseline-disease-free-survival"/>
    <w:p>
      <w:pPr>
        <w:pStyle w:val="Heading2"/>
      </w:pPr>
      <w:r>
        <w:t xml:space="preserve">Baseline disease free survival</w:t>
      </w:r>
    </w:p>
    <w:p>
      <w:pPr>
        <w:pStyle w:val="CaptionedFigure"/>
      </w:pPr>
      <w:r>
        <w:drawing>
          <wp:inline>
            <wp:extent cx="5669280" cy="3047238"/>
            <wp:effectExtent b="0" l="0" r="0" t="0"/>
            <wp:docPr descr="Kaplan Meier estimates with pointwise log-log intervals." title="" id="19" name="Picture"/>
            <a:graphic>
              <a:graphicData uri="http://schemas.openxmlformats.org/drawingml/2006/picture">
                <pic:pic>
                  <pic:nvPicPr>
                    <pic:cNvPr descr="figures/km.png" id="20" name="Picture"/>
                    <pic:cNvPicPr>
                      <a:picLocks noChangeArrowheads="1" noChangeAspect="1"/>
                    </pic:cNvPicPr>
                  </pic:nvPicPr>
                  <pic:blipFill>
                    <a:blip r:embed="rId18"/>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Kaplan Meier estimates with pointwise log-log intervals.</w:t>
      </w:r>
    </w:p>
    <w:p>
      <w:pPr>
        <w:pStyle w:val="BodyText"/>
      </w:pPr>
      <w:r>
        <w:t xml:space="preserve">Workers at risk immediately before each displayed time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Industry</w:t>
            </w:r>
          </w:p>
        </w:tc>
        <w:tc>
          <w:tcPr/>
          <w:p>
            <w:pPr>
              <w:pStyle w:val="Compact"/>
              <w:jc w:val="right"/>
            </w:pPr>
            <w:r>
              <w:t xml:space="preserve">0 years</w:t>
            </w:r>
          </w:p>
        </w:tc>
        <w:tc>
          <w:tcPr/>
          <w:p>
            <w:pPr>
              <w:pStyle w:val="Compact"/>
              <w:jc w:val="right"/>
            </w:pPr>
            <w:r>
              <w:t xml:space="preserve">2 years</w:t>
            </w:r>
          </w:p>
        </w:tc>
        <w:tc>
          <w:tcPr/>
          <w:p>
            <w:pPr>
              <w:pStyle w:val="Compact"/>
              <w:jc w:val="right"/>
            </w:pPr>
            <w:r>
              <w:t xml:space="preserve">4 years</w:t>
            </w:r>
          </w:p>
        </w:tc>
        <w:tc>
          <w:tcPr/>
          <w:p>
            <w:pPr>
              <w:pStyle w:val="Compact"/>
              <w:jc w:val="right"/>
            </w:pPr>
            <w:r>
              <w:t xml:space="preserve">6 years</w:t>
            </w:r>
          </w:p>
        </w:tc>
        <w:tc>
          <w:tcPr/>
          <w:p>
            <w:pPr>
              <w:pStyle w:val="Compact"/>
              <w:jc w:val="right"/>
            </w:pPr>
            <w:r>
              <w:t xml:space="preserve">8 years</w:t>
            </w:r>
          </w:p>
        </w:tc>
      </w:tr>
      <w:tr>
        <w:tc>
          <w:tcPr/>
          <w:p>
            <w:pPr>
              <w:pStyle w:val="Compact"/>
              <w:jc w:val="left"/>
            </w:pPr>
            <w:r>
              <w:t xml:space="preserve">Brick manufacture</w:t>
            </w:r>
          </w:p>
        </w:tc>
        <w:tc>
          <w:tcPr/>
          <w:p>
            <w:pPr>
              <w:pStyle w:val="Compact"/>
              <w:jc w:val="right"/>
            </w:pPr>
            <w:r>
              <w:t xml:space="preserve">160</w:t>
            </w:r>
          </w:p>
        </w:tc>
        <w:tc>
          <w:tcPr/>
          <w:p>
            <w:pPr>
              <w:pStyle w:val="Compact"/>
              <w:jc w:val="right"/>
            </w:pPr>
            <w:r>
              <w:t xml:space="preserve">138</w:t>
            </w:r>
          </w:p>
        </w:tc>
        <w:tc>
          <w:tcPr/>
          <w:p>
            <w:pPr>
              <w:pStyle w:val="Compact"/>
              <w:jc w:val="right"/>
            </w:pPr>
            <w:r>
              <w:t xml:space="preserve">113</w:t>
            </w:r>
          </w:p>
        </w:tc>
        <w:tc>
          <w:tcPr/>
          <w:p>
            <w:pPr>
              <w:pStyle w:val="Compact"/>
              <w:jc w:val="right"/>
            </w:pPr>
            <w:r>
              <w:t xml:space="preserve">86</w:t>
            </w:r>
          </w:p>
        </w:tc>
        <w:tc>
          <w:tcPr/>
          <w:p>
            <w:pPr>
              <w:pStyle w:val="Compact"/>
              <w:jc w:val="right"/>
            </w:pPr>
            <w:r>
              <w:t xml:space="preserve">76</w:t>
            </w:r>
          </w:p>
        </w:tc>
      </w:tr>
      <w:tr>
        <w:tc>
          <w:tcPr/>
          <w:p>
            <w:pPr>
              <w:pStyle w:val="Compact"/>
              <w:jc w:val="left"/>
            </w:pPr>
            <w:r>
              <w:t xml:space="preserve">Construction</w:t>
            </w:r>
          </w:p>
        </w:tc>
        <w:tc>
          <w:tcPr/>
          <w:p>
            <w:pPr>
              <w:pStyle w:val="Compact"/>
              <w:jc w:val="right"/>
            </w:pPr>
            <w:r>
              <w:t xml:space="preserve">160</w:t>
            </w:r>
          </w:p>
        </w:tc>
        <w:tc>
          <w:tcPr/>
          <w:p>
            <w:pPr>
              <w:pStyle w:val="Compact"/>
              <w:jc w:val="right"/>
            </w:pPr>
            <w:r>
              <w:t xml:space="preserve">141</w:t>
            </w:r>
          </w:p>
        </w:tc>
        <w:tc>
          <w:tcPr/>
          <w:p>
            <w:pPr>
              <w:pStyle w:val="Compact"/>
              <w:jc w:val="right"/>
            </w:pPr>
            <w:r>
              <w:t xml:space="preserve">120</w:t>
            </w:r>
          </w:p>
        </w:tc>
        <w:tc>
          <w:tcPr/>
          <w:p>
            <w:pPr>
              <w:pStyle w:val="Compact"/>
              <w:jc w:val="right"/>
            </w:pPr>
            <w:r>
              <w:t xml:space="preserve">94</w:t>
            </w:r>
          </w:p>
        </w:tc>
        <w:tc>
          <w:tcPr/>
          <w:p>
            <w:pPr>
              <w:pStyle w:val="Compact"/>
              <w:jc w:val="right"/>
            </w:pPr>
            <w:r>
              <w:t xml:space="preserve">72</w:t>
            </w:r>
          </w:p>
        </w:tc>
      </w:tr>
      <w:tr>
        <w:tc>
          <w:tcPr/>
          <w:p>
            <w:pPr>
              <w:pStyle w:val="Compact"/>
              <w:jc w:val="left"/>
            </w:pPr>
            <w:r>
              <w:t xml:space="preserve">Stone fabrication</w:t>
            </w:r>
          </w:p>
        </w:tc>
        <w:tc>
          <w:tcPr/>
          <w:p>
            <w:pPr>
              <w:pStyle w:val="Compact"/>
              <w:jc w:val="right"/>
            </w:pPr>
            <w:r>
              <w:t xml:space="preserve">156</w:t>
            </w:r>
          </w:p>
        </w:tc>
        <w:tc>
          <w:tcPr/>
          <w:p>
            <w:pPr>
              <w:pStyle w:val="Compact"/>
              <w:jc w:val="right"/>
            </w:pPr>
            <w:r>
              <w:t xml:space="preserve">140</w:t>
            </w:r>
          </w:p>
        </w:tc>
        <w:tc>
          <w:tcPr/>
          <w:p>
            <w:pPr>
              <w:pStyle w:val="Compact"/>
              <w:jc w:val="right"/>
            </w:pPr>
            <w:r>
              <w:t xml:space="preserve">115</w:t>
            </w:r>
          </w:p>
        </w:tc>
        <w:tc>
          <w:tcPr/>
          <w:p>
            <w:pPr>
              <w:pStyle w:val="Compact"/>
              <w:jc w:val="right"/>
            </w:pPr>
            <w:r>
              <w:t xml:space="preserve">98</w:t>
            </w:r>
          </w:p>
        </w:tc>
        <w:tc>
          <w:tcPr/>
          <w:p>
            <w:pPr>
              <w:pStyle w:val="Compact"/>
              <w:jc w:val="right"/>
            </w:pPr>
            <w:r>
              <w:t xml:space="preserve">79</w:t>
            </w:r>
          </w:p>
        </w:tc>
      </w:tr>
    </w:tbl>
    <w:p>
      <w:pPr>
        <w:pStyle w:val="BodyText"/>
      </w:pPr>
      <w:r>
        <w:t xml:space="preserve">Risk sets exclude workers after diagnosis or censoring. Administrative follow-up ends at eight years. The curves are descriptive and unadjusted; differences between industries are not causal estimates. Pointwise confidence intervals widen as information declines, and independent censoring is assumed within each industry.</w:t>
      </w:r>
    </w:p>
    <w:p>
      <w:r>
        <w:br w:type="page"/>
      </w:r>
    </w:p>
    <w:bookmarkEnd w:id="21"/>
    <w:bookmarkStart w:id="25" w:name="baseline-adjusted-associations"/>
    <w:p>
      <w:pPr>
        <w:pStyle w:val="Heading2"/>
      </w:pPr>
      <w:r>
        <w:t xml:space="preserve">Baseline adjusted associations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HR</w:t>
            </w:r>
          </w:p>
        </w:tc>
        <w:tc>
          <w:tcPr/>
          <w:p>
            <w:pPr>
              <w:pStyle w:val="Compact"/>
              <w:jc w:val="left"/>
            </w:pPr>
            <w:r>
              <w:t xml:space="preserve">95 percent interval</w:t>
            </w:r>
          </w:p>
        </w:tc>
        <w:tc>
          <w:tcPr/>
          <w:p>
            <w:pPr>
              <w:pStyle w:val="Compact"/>
              <w:jc w:val="right"/>
            </w:pPr>
            <w:r>
              <w:t xml:space="preserve">P</w:t>
            </w:r>
          </w:p>
        </w:tc>
      </w:tr>
      <w:tr>
        <w:tc>
          <w:tcPr/>
          <w:p>
            <w:pPr>
              <w:pStyle w:val="Compact"/>
              <w:jc w:val="left"/>
            </w:pPr>
            <w:r>
              <w:t xml:space="preserve">log2_1plus_cumulative</w:t>
            </w:r>
          </w:p>
        </w:tc>
        <w:tc>
          <w:tcPr/>
          <w:p>
            <w:pPr>
              <w:pStyle w:val="Compact"/>
              <w:jc w:val="right"/>
            </w:pPr>
            <w:r>
              <w:t xml:space="preserve">1.392</w:t>
            </w:r>
          </w:p>
        </w:tc>
        <w:tc>
          <w:tcPr/>
          <w:p>
            <w:pPr>
              <w:pStyle w:val="Compact"/>
              <w:jc w:val="left"/>
            </w:pPr>
            <w:r>
              <w:t xml:space="preserve">1.033 to 1.876</w:t>
            </w:r>
          </w:p>
        </w:tc>
        <w:tc>
          <w:tcPr/>
          <w:p>
            <w:pPr>
              <w:pStyle w:val="Compact"/>
              <w:jc w:val="right"/>
            </w:pPr>
            <w:r>
              <w:t xml:space="preserve">0.030</w:t>
            </w:r>
          </w:p>
        </w:tc>
      </w:tr>
      <w:tr>
        <w:tc>
          <w:tcPr/>
          <w:p>
            <w:pPr>
              <w:pStyle w:val="Compact"/>
              <w:jc w:val="left"/>
            </w:pPr>
            <w:r>
              <w:t xml:space="preserve">age_per_decade</w:t>
            </w:r>
          </w:p>
        </w:tc>
        <w:tc>
          <w:tcPr/>
          <w:p>
            <w:pPr>
              <w:pStyle w:val="Compact"/>
              <w:jc w:val="right"/>
            </w:pPr>
            <w:r>
              <w:t xml:space="preserve">1.135</w:t>
            </w:r>
          </w:p>
        </w:tc>
        <w:tc>
          <w:tcPr/>
          <w:p>
            <w:pPr>
              <w:pStyle w:val="Compact"/>
              <w:jc w:val="left"/>
            </w:pPr>
            <w:r>
              <w:t xml:space="preserve">0.966 to 1.333</w:t>
            </w:r>
          </w:p>
        </w:tc>
        <w:tc>
          <w:tcPr/>
          <w:p>
            <w:pPr>
              <w:pStyle w:val="Compact"/>
              <w:jc w:val="right"/>
            </w:pPr>
            <w:r>
              <w:t xml:space="preserve">0.124</w:t>
            </w:r>
          </w:p>
        </w:tc>
      </w:tr>
      <w:tr>
        <w:tc>
          <w:tcPr/>
          <w:p>
            <w:pPr>
              <w:pStyle w:val="Compact"/>
              <w:jc w:val="left"/>
            </w:pPr>
            <w:r>
              <w:t xml:space="preserve">smoker</w:t>
            </w:r>
          </w:p>
        </w:tc>
        <w:tc>
          <w:tcPr/>
          <w:p>
            <w:pPr>
              <w:pStyle w:val="Compact"/>
              <w:jc w:val="right"/>
            </w:pPr>
            <w:r>
              <w:t xml:space="preserve">1.432</w:t>
            </w:r>
          </w:p>
        </w:tc>
        <w:tc>
          <w:tcPr/>
          <w:p>
            <w:pPr>
              <w:pStyle w:val="Compact"/>
              <w:jc w:val="left"/>
            </w:pPr>
            <w:r>
              <w:t xml:space="preserve">1.010 to 2.031</w:t>
            </w:r>
          </w:p>
        </w:tc>
        <w:tc>
          <w:tcPr/>
          <w:p>
            <w:pPr>
              <w:pStyle w:val="Compact"/>
              <w:jc w:val="right"/>
            </w:pPr>
            <w:r>
              <w:t xml:space="preserve">0.044</w:t>
            </w:r>
          </w:p>
        </w:tc>
      </w:tr>
    </w:tbl>
    <w:p>
      <w:pPr>
        <w:pStyle w:val="BodyText"/>
      </w:pPr>
      <w:r>
        <w:t xml:space="preserve">The exposure hazard ratio describes a one-unit increase in</w:t>
      </w:r>
      <w:r>
        <w:t xml:space="preserve"> </w:t>
      </w:r>
      <m:oMath>
        <m:sSub>
          <m:e>
            <m:r>
              <m:rPr>
                <m:sty m:val="p"/>
              </m:rPr>
              <m:t>log</m:t>
            </m:r>
          </m:e>
          <m:sub>
            <m:r>
              <m:t>2</m:t>
            </m:r>
          </m:sub>
        </m:sSub>
        <m:r>
          <m:rPr>
            <m:sty m:val="p"/>
          </m:rPr>
          <m:t>(</m:t>
        </m:r>
        <m:r>
          <m:t>1</m:t>
        </m:r>
        <m:r>
          <m:rPr>
            <m:sty m:val="p"/>
          </m:rPr>
          <m:t>+</m:t>
        </m:r>
        <m:r>
          <m:t>C</m:t>
        </m:r>
        <m:r>
          <m:rPr>
            <m:sty m:val="p"/>
          </m:rPr>
          <m:t>/</m:t>
        </m:r>
        <m:sSub>
          <m:e>
            <m:r>
              <m:t>C</m:t>
            </m:r>
          </m:e>
          <m:sub>
            <m:r>
              <m:t>0</m:t>
            </m:r>
          </m:sub>
        </m:sSub>
        <m:r>
          <m:rPr>
            <m:sty m:val="p"/>
          </m:rPr>
          <m:t>)</m:t>
        </m:r>
      </m:oMath>
      <w:r>
        <w:t xml:space="preserve">, not a doubling of raw concentration. Smoking is binary and age is per decade. The model uses complete cases and no automated variable selection. P values are exploratory and unadjusted.</w:t>
      </w:r>
    </w:p>
    <w:p>
      <w:pPr>
        <w:pStyle w:val="CaptionedFigure"/>
      </w:pPr>
      <w:r>
        <w:drawing>
          <wp:inline>
            <wp:extent cx="5669280" cy="3047238"/>
            <wp:effectExtent b="0" l="0" r="0" t="0"/>
            <wp:docPr descr="Adjusted hazard ratios. Orange crosses mark assumed generating effects." title="" id="23" name="Picture"/>
            <a:graphic>
              <a:graphicData uri="http://schemas.openxmlformats.org/drawingml/2006/picture">
                <pic:pic>
                  <pic:nvPicPr>
                    <pic:cNvPr descr="figures/cox_forest.png" id="24" name="Picture"/>
                    <pic:cNvPicPr>
                      <a:picLocks noChangeArrowheads="1" noChangeAspect="1"/>
                    </pic:cNvPicPr>
                  </pic:nvPicPr>
                  <pic:blipFill>
                    <a:blip r:embed="rId22"/>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Adjusted hazard ratios. Orange crosses mark assumed generating effects.</w:t>
      </w:r>
    </w:p>
    <w:p>
      <w:r>
        <w:br w:type="page"/>
      </w:r>
    </w:p>
    <w:bookmarkEnd w:id="25"/>
    <w:bookmarkStart w:id="29" w:name="proportional-hazards-diagnostics"/>
    <w:p>
      <w:pPr>
        <w:pStyle w:val="Heading2"/>
      </w:pPr>
      <w:r>
        <w:t xml:space="preserve">Proportional hazards diagnostics</w:t>
      </w:r>
    </w:p>
    <w:p>
      <w:pPr>
        <w:pStyle w:val="CaptionedFigure"/>
      </w:pPr>
      <w:r>
        <w:drawing>
          <wp:inline>
            <wp:extent cx="5669280" cy="3047238"/>
            <wp:effectExtent b="0" l="0" r="0" t="0"/>
            <wp:docPr descr="Schoenfeld residuals against log event time with descriptive LOESS smoothing." title="" id="27" name="Picture"/>
            <a:graphic>
              <a:graphicData uri="http://schemas.openxmlformats.org/drawingml/2006/picture">
                <pic:pic>
                  <pic:nvPicPr>
                    <pic:cNvPr descr="figures/ph_diagnostics.png" id="28" name="Picture"/>
                    <pic:cNvPicPr>
                      <a:picLocks noChangeArrowheads="1" noChangeAspect="1"/>
                    </pic:cNvPicPr>
                  </pic:nvPicPr>
                  <pic:blipFill>
                    <a:blip r:embed="rId26"/>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Schoenfeld residuals against log event time with descriptive LOESS smoothing.</w:t>
      </w:r>
    </w:p>
    <w:p>
      <w:pPr>
        <w:pStyle w:val="BodyText"/>
      </w:pPr>
      <w:r>
        <w:t xml:space="preserve">Schoenfeld residuals subtract the risk-set weighted mean covariate from each event covariate. Correlations with log time and smooth trajectories are descriptive. R also supplies the scaled Schoenfeld score test using</w:t>
      </w:r>
      <w:r>
        <w:t xml:space="preserve"> </w:t>
      </w:r>
      <w:r>
        <w:rPr>
          <w:rStyle w:val="VerbatimChar"/>
        </w:rPr>
        <w:t xml:space="preserve">cox.zph</w:t>
      </w:r>
      <w:r>
        <w:t xml:space="preserve"> </w:t>
      </w:r>
      <w:r>
        <w:t xml:space="preserve">with a log-time transform: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chisq</w:t>
            </w:r>
          </w:p>
        </w:tc>
        <w:tc>
          <w:tcPr/>
          <w:p>
            <w:pPr>
              <w:pStyle w:val="Compact"/>
              <w:jc w:val="right"/>
            </w:pPr>
            <w:r>
              <w:t xml:space="preserve">df</w:t>
            </w:r>
          </w:p>
        </w:tc>
        <w:tc>
          <w:tcPr/>
          <w:p>
            <w:pPr>
              <w:pStyle w:val="Compact"/>
              <w:jc w:val="right"/>
            </w:pPr>
            <w:r>
              <w:t xml:space="preserve">p</w:t>
            </w:r>
          </w:p>
        </w:tc>
      </w:tr>
      <w:tr>
        <w:tc>
          <w:tcPr/>
          <w:p>
            <w:pPr>
              <w:pStyle w:val="Compact"/>
              <w:jc w:val="left"/>
            </w:pPr>
            <w:r>
              <w:t xml:space="preserve">log2_1plus_cumulative</w:t>
            </w:r>
          </w:p>
        </w:tc>
        <w:tc>
          <w:tcPr/>
          <w:p>
            <w:pPr>
              <w:pStyle w:val="Compact"/>
              <w:jc w:val="right"/>
            </w:pPr>
            <w:r>
              <w:t xml:space="preserve">1.504</w:t>
            </w:r>
          </w:p>
        </w:tc>
        <w:tc>
          <w:tcPr/>
          <w:p>
            <w:pPr>
              <w:pStyle w:val="Compact"/>
              <w:jc w:val="right"/>
            </w:pPr>
            <w:r>
              <w:t xml:space="preserve">1</w:t>
            </w:r>
          </w:p>
        </w:tc>
        <w:tc>
          <w:tcPr/>
          <w:p>
            <w:pPr>
              <w:pStyle w:val="Compact"/>
              <w:jc w:val="right"/>
            </w:pPr>
            <w:r>
              <w:t xml:space="preserve">0.220</w:t>
            </w:r>
          </w:p>
        </w:tc>
      </w:tr>
      <w:tr>
        <w:tc>
          <w:tcPr/>
          <w:p>
            <w:pPr>
              <w:pStyle w:val="Compact"/>
              <w:jc w:val="left"/>
            </w:pPr>
            <w:r>
              <w:t xml:space="preserve">age_per_decade</w:t>
            </w:r>
          </w:p>
        </w:tc>
        <w:tc>
          <w:tcPr/>
          <w:p>
            <w:pPr>
              <w:pStyle w:val="Compact"/>
              <w:jc w:val="right"/>
            </w:pPr>
            <w:r>
              <w:t xml:space="preserve">0.350</w:t>
            </w:r>
          </w:p>
        </w:tc>
        <w:tc>
          <w:tcPr/>
          <w:p>
            <w:pPr>
              <w:pStyle w:val="Compact"/>
              <w:jc w:val="right"/>
            </w:pPr>
            <w:r>
              <w:t xml:space="preserve">1</w:t>
            </w:r>
          </w:p>
        </w:tc>
        <w:tc>
          <w:tcPr/>
          <w:p>
            <w:pPr>
              <w:pStyle w:val="Compact"/>
              <w:jc w:val="right"/>
            </w:pPr>
            <w:r>
              <w:t xml:space="preserve">0.554</w:t>
            </w:r>
          </w:p>
        </w:tc>
      </w:tr>
      <w:tr>
        <w:tc>
          <w:tcPr/>
          <w:p>
            <w:pPr>
              <w:pStyle w:val="Compact"/>
              <w:jc w:val="left"/>
            </w:pPr>
            <w:r>
              <w:t xml:space="preserve">smoker</w:t>
            </w:r>
          </w:p>
        </w:tc>
        <w:tc>
          <w:tcPr/>
          <w:p>
            <w:pPr>
              <w:pStyle w:val="Compact"/>
              <w:jc w:val="right"/>
            </w:pPr>
            <w:r>
              <w:t xml:space="preserve">0.293</w:t>
            </w:r>
          </w:p>
        </w:tc>
        <w:tc>
          <w:tcPr/>
          <w:p>
            <w:pPr>
              <w:pStyle w:val="Compact"/>
              <w:jc w:val="right"/>
            </w:pPr>
            <w:r>
              <w:t xml:space="preserve">1</w:t>
            </w:r>
          </w:p>
        </w:tc>
        <w:tc>
          <w:tcPr/>
          <w:p>
            <w:pPr>
              <w:pStyle w:val="Compact"/>
              <w:jc w:val="right"/>
            </w:pPr>
            <w:r>
              <w:t xml:space="preserve">0.588</w:t>
            </w:r>
          </w:p>
        </w:tc>
      </w:tr>
      <w:tr>
        <w:tc>
          <w:tcPr/>
          <w:p>
            <w:pPr>
              <w:pStyle w:val="Compact"/>
              <w:jc w:val="left"/>
            </w:pPr>
            <w:r>
              <w:t xml:space="preserve">GLOBAL</w:t>
            </w:r>
          </w:p>
        </w:tc>
        <w:tc>
          <w:tcPr/>
          <w:p>
            <w:pPr>
              <w:pStyle w:val="Compact"/>
              <w:jc w:val="right"/>
            </w:pPr>
            <w:r>
              <w:t xml:space="preserve">1.894</w:t>
            </w:r>
          </w:p>
        </w:tc>
        <w:tc>
          <w:tcPr/>
          <w:p>
            <w:pPr>
              <w:pStyle w:val="Compact"/>
              <w:jc w:val="right"/>
            </w:pPr>
            <w:r>
              <w:t xml:space="preserve">3</w:t>
            </w:r>
          </w:p>
        </w:tc>
        <w:tc>
          <w:tcPr/>
          <w:p>
            <w:pPr>
              <w:pStyle w:val="Compact"/>
              <w:jc w:val="right"/>
            </w:pPr>
            <w:r>
              <w:t xml:space="preserve">0.595</w:t>
            </w:r>
          </w:p>
        </w:tc>
      </w:tr>
    </w:tbl>
    <w:p>
      <w:pPr>
        <w:pStyle w:val="BodyText"/>
      </w:pPr>
      <w:r>
        <w:t xml:space="preserve">These tests cannot prove proportional hazards, particularly in small samples. Smoothing algorithms differ between Python and R; cross-checks assess the underlying residual rank correlations rather than identical smooth lines. The formal R test is a new diagnostic with no claimed Python counterpart.</w:t>
      </w:r>
    </w:p>
    <w:p>
      <w:r>
        <w:br w:type="page"/>
      </w:r>
    </w:p>
    <w:bookmarkEnd w:id="29"/>
    <w:bookmarkStart w:id="33" w:name="X8552a341e5b9270ad3e0ac0c141676b127d484e"/>
    <w:p>
      <w:pPr>
        <w:pStyle w:val="Heading2"/>
      </w:pPr>
      <w:r>
        <w:t xml:space="preserve">Time varying exposure and competing events</w:t>
      </w:r>
    </w:p>
    <w:p>
      <w:pPr>
        <w:pStyle w:val="FirstParagraph"/>
      </w:pPr>
      <w:r>
        <w:t xml:space="preserve">At annual boundary</w:t>
      </w:r>
      <w:r>
        <w:t xml:space="preserve"> </w:t>
      </w:r>
      <m:oMath>
        <m:r>
          <m:t>u</m:t>
        </m:r>
      </m:oMath>
      <w:r>
        <w:t xml:space="preserve">, historical exposure and earlier annual concentrations</w:t>
      </w:r>
      <w:r>
        <w:t xml:space="preserve"> </w:t>
      </w:r>
      <m:oMath>
        <m:sSub>
          <m:e>
            <m:r>
              <m:t>e</m:t>
            </m:r>
          </m:e>
          <m:sub>
            <m:r>
              <m:t>i</m:t>
            </m:r>
            <m:r>
              <m:t>m</m:t>
            </m:r>
          </m:sub>
        </m:sSub>
      </m:oMath>
      <w:r>
        <w:t xml:space="preserve"> </w:t>
      </w:r>
      <w:r>
        <w:t xml:space="preserve">define predictable five-year lagged cumulative exposure:</w:t>
      </w:r>
    </w:p>
    <w:p>
      <w:pPr>
        <w:pStyle w:val="BodyText"/>
      </w:pPr>
      <m:oMathPara>
        <m:oMathParaPr>
          <m:jc m:val="center"/>
        </m:oMathParaPr>
        <m:oMath>
          <m:sSub>
            <m:e>
              <m:r>
                <m:t>C</m:t>
              </m:r>
            </m:e>
            <m:sub>
              <m:r>
                <m:t>i</m:t>
              </m:r>
            </m:sub>
          </m:sSub>
          <m:r>
            <m:rPr>
              <m:sty m:val="p"/>
            </m:rPr>
            <m:t>(</m:t>
          </m:r>
          <m:r>
            <m:t>u</m:t>
          </m:r>
          <m:r>
            <m:rPr>
              <m:sty m:val="p"/>
            </m:rPr>
            <m:t>)</m:t>
          </m:r>
          <m:r>
            <m:rPr>
              <m:sty m:val="p"/>
            </m:rPr>
            <m:t>=</m:t>
          </m:r>
          <m:sSub>
            <m:e>
              <m:r>
                <m:t>c</m:t>
              </m:r>
            </m:e>
            <m:sub>
              <m:r>
                <m:t>i</m:t>
              </m:r>
            </m:sub>
          </m:sSub>
          <m:r>
            <m:rPr>
              <m:sty m:val="p"/>
            </m:rPr>
            <m:t>max</m:t>
          </m:r>
          <m:r>
            <m:rPr>
              <m:sty m:val="p"/>
            </m:rPr>
            <m:t>{</m:t>
          </m:r>
          <m:sSub>
            <m:e>
              <m:r>
                <m:t>d</m:t>
              </m:r>
            </m:e>
            <m:sub>
              <m:r>
                <m:t>i</m:t>
              </m:r>
            </m:sub>
          </m:sSub>
          <m:r>
            <m:rPr>
              <m:sty m:val="p"/>
            </m:rPr>
            <m:t>−</m:t>
          </m:r>
          <m:r>
            <m:rPr>
              <m:sty m:val="p"/>
            </m:rPr>
            <m:t>max</m:t>
          </m:r>
          <m:r>
            <m:rPr>
              <m:sty m:val="p"/>
            </m:rPr>
            <m:t>(</m:t>
          </m:r>
          <m:r>
            <m:t>5</m:t>
          </m:r>
          <m:r>
            <m:rPr>
              <m:sty m:val="p"/>
            </m:rPr>
            <m:t>−</m:t>
          </m:r>
          <m:r>
            <m:t>u</m:t>
          </m:r>
          <m:r>
            <m:rPr>
              <m:sty m:val="p"/>
            </m:rPr>
            <m:t>,</m:t>
          </m:r>
          <m:r>
            <m:t>0</m:t>
          </m:r>
          <m:r>
            <m:rPr>
              <m:sty m:val="p"/>
            </m:rPr>
            <m:t>)</m:t>
          </m:r>
          <m:r>
            <m:rPr>
              <m:sty m:val="p"/>
            </m:rPr>
            <m:t>,</m:t>
          </m:r>
          <m:r>
            <m:t>0</m:t>
          </m:r>
          <m:r>
            <m:rPr>
              <m:sty m:val="p"/>
            </m:rPr>
            <m:t>}</m:t>
          </m:r>
          <m:r>
            <m:rPr>
              <m:sty m:val="p"/>
            </m:rPr>
            <m:t>+</m:t>
          </m:r>
          <m:nary>
            <m:naryPr>
              <m:chr m:val="∑"/>
              <m:limLoc m:val="undOvr"/>
              <m:subHide m:val="off"/>
              <m:supHide m:val="off"/>
            </m:naryPr>
            <m:sub>
              <m:r>
                <m:t>m</m:t>
              </m:r>
              <m:r>
                <m:rPr>
                  <m:sty m:val="p"/>
                </m:rPr>
                <m:t>=</m:t>
              </m:r>
              <m:r>
                <m:t>0</m:t>
              </m:r>
            </m:sub>
            <m:sup>
              <m:r>
                <m:t>u</m:t>
              </m:r>
              <m:r>
                <m:rPr>
                  <m:sty m:val="p"/>
                </m:rPr>
                <m:t>−</m:t>
              </m:r>
              <m:r>
                <m:t>6</m:t>
              </m:r>
            </m:sup>
            <m:e>
              <m:sSub>
                <m:e>
                  <m:r>
                    <m:t>e</m:t>
                  </m:r>
                </m:e>
                <m:sub>
                  <m:r>
                    <m:t>i</m:t>
                  </m:r>
                  <m:r>
                    <m:t>m</m:t>
                  </m:r>
                </m:sub>
              </m:sSub>
            </m:e>
          </m:nary>
          <m:r>
            <m:rPr>
              <m:sty m:val="p"/>
            </m:rPr>
            <m:t>.</m:t>
          </m:r>
        </m:oMath>
      </m:oMathPara>
    </w:p>
    <w:p>
      <w:pPr>
        <w:pStyle w:val="FirstParagraph"/>
      </w:pPr>
      <w:r>
        <w:t xml:space="preserve">The sum is empty when its upper limit is negative. Exposure is held constant within each annual interval. Risk sets use</w:t>
      </w:r>
      <w:r>
        <w:t xml:space="preserve"> </w:t>
      </w:r>
      <m:oMath>
        <m:r>
          <m:rPr>
            <m:sty m:val="p"/>
          </m:rPr>
          <m:t>(</m:t>
        </m:r>
        <m:r>
          <m:rPr>
            <m:sty m:val="p"/>
          </m:rPr>
          <m:t>s</m:t>
        </m:r>
        <m:r>
          <m:rPr>
            <m:sty m:val="p"/>
          </m:rPr>
          <m:t>t</m:t>
        </m:r>
        <m:r>
          <m:rPr>
            <m:sty m:val="p"/>
          </m:rPr>
          <m:t>a</m:t>
        </m:r>
        <m:r>
          <m:rPr>
            <m:sty m:val="p"/>
          </m:rPr>
          <m:t>r</m:t>
        </m:r>
        <m:r>
          <m:rPr>
            <m:sty m:val="p"/>
          </m:rPr>
          <m:t>t</m:t>
        </m:r>
        <m:r>
          <m:rPr>
            <m:sty m:val="p"/>
          </m:rPr>
          <m:t>,</m:t>
        </m:r>
        <m:r>
          <m:rPr>
            <m:sty m:val="p"/>
          </m:rPr>
          <m:t>s</m:t>
        </m:r>
        <m:r>
          <m:rPr>
            <m:sty m:val="p"/>
          </m:rPr>
          <m:t>t</m:t>
        </m:r>
        <m:r>
          <m:rPr>
            <m:sty m:val="p"/>
          </m:rPr>
          <m:t>o</m:t>
        </m:r>
        <m:r>
          <m:rPr>
            <m:sty m:val="p"/>
          </m:rPr>
          <m:t>p</m:t>
        </m:r>
        <m:r>
          <m:rPr>
            <m:sty m:val="p"/>
          </m:rPr>
          <m:t>]</m:t>
        </m:r>
      </m:oMath>
      <w:r>
        <w:t xml:space="preserve">, so only one interval per worker contributes at an event time. Follow-up ends at first diagnosis, death or censoring.</w:t>
      </w:r>
    </w:p>
    <w:p>
      <w:pPr>
        <w:pStyle w:val="BodyText"/>
      </w:pPr>
      <w:r>
        <w:t xml:space="preserve">Cause-specific hazards are piecewise constant. Diagnosis and death baseline hazards are 0.018 and 0.025 per year, with assumed exposure, age and smoking hazard ratios</w:t>
      </w:r>
      <w:r>
        <w:t xml:space="preserve"> </w:t>
      </w:r>
      <m:oMath>
        <m:r>
          <m:rPr>
            <m:sty m:val="p"/>
          </m:rPr>
          <m:t>(</m:t>
        </m:r>
        <m:r>
          <m:t>1.7</m:t>
        </m:r>
        <m:r>
          <m:rPr>
            <m:sty m:val="p"/>
          </m:rPr>
          <m:t>,</m:t>
        </m:r>
        <m:r>
          <m:t>1.3</m:t>
        </m:r>
        <m:r>
          <m:rPr>
            <m:sty m:val="p"/>
          </m:rPr>
          <m:t>,</m:t>
        </m:r>
        <m:r>
          <m:t>1.5</m:t>
        </m:r>
        <m:r>
          <m:rPr>
            <m:sty m:val="p"/>
          </m:rPr>
          <m:t>)</m:t>
        </m:r>
      </m:oMath>
      <w:r>
        <w:t xml:space="preserve"> </w:t>
      </w:r>
      <w:r>
        <w:t xml:space="preserve">and</w:t>
      </w:r>
      <w:r>
        <w:t xml:space="preserve"> </w:t>
      </w:r>
      <m:oMath>
        <m:r>
          <m:rPr>
            <m:sty m:val="p"/>
          </m:rPr>
          <m:t>(</m:t>
        </m:r>
        <m:r>
          <m:t>1.0</m:t>
        </m:r>
        <m:r>
          <m:rPr>
            <m:sty m:val="p"/>
          </m:rPr>
          <m:t>,</m:t>
        </m:r>
        <m:r>
          <m:t>1.5</m:t>
        </m:r>
        <m:r>
          <m:rPr>
            <m:sty m:val="p"/>
          </m:rPr>
          <m:t>,</m:t>
        </m:r>
        <m:r>
          <m:t>1.2</m:t>
        </m:r>
        <m:r>
          <m:rPr>
            <m:sty m:val="p"/>
          </m:rPr>
          <m:t>)</m:t>
        </m:r>
      </m:oMath>
      <w:r>
        <w:t xml:space="preserve">. Waiting time is exponential with rate</w:t>
      </w:r>
      <w:r>
        <w:t xml:space="preserve"> </w:t>
      </w:r>
      <m:oMath>
        <m:sSub>
          <m:e>
            <m:r>
              <m:t>h</m:t>
            </m:r>
          </m:e>
          <m:sub>
            <m:r>
              <m:t>1</m:t>
            </m:r>
          </m:sub>
        </m:sSub>
        <m:r>
          <m:rPr>
            <m:sty m:val="p"/>
          </m:rPr>
          <m:t>+</m:t>
        </m:r>
        <m:sSub>
          <m:e>
            <m:r>
              <m:t>h</m:t>
            </m:r>
          </m:e>
          <m:sub>
            <m:r>
              <m:t>2</m:t>
            </m:r>
          </m:sub>
        </m:sSub>
      </m:oMath>
      <w:r>
        <w:t xml:space="preserve">; event cause is drawn with probability</w:t>
      </w:r>
      <w:r>
        <w:t xml:space="preserve"> </w:t>
      </w:r>
      <m:oMath>
        <m:sSub>
          <m:e>
            <m:r>
              <m:t>h</m:t>
            </m:r>
          </m:e>
          <m:sub>
            <m:r>
              <m:t>k</m:t>
            </m:r>
          </m:sub>
        </m:sSub>
        <m:r>
          <m:rPr>
            <m:sty m:val="p"/>
          </m:rPr>
          <m:t>/</m:t>
        </m:r>
        <m:r>
          <m:rPr>
            <m:sty m:val="p"/>
          </m:rPr>
          <m:t>(</m:t>
        </m:r>
        <m:sSub>
          <m:e>
            <m:r>
              <m:t>h</m:t>
            </m:r>
          </m:e>
          <m:sub>
            <m:r>
              <m:t>1</m:t>
            </m:r>
          </m:sub>
        </m:sSub>
        <m:r>
          <m:rPr>
            <m:sty m:val="p"/>
          </m:rPr>
          <m:t>+</m:t>
        </m:r>
        <m:sSub>
          <m:e>
            <m:r>
              <m:t>h</m:t>
            </m:r>
          </m:e>
          <m:sub>
            <m:r>
              <m:t>2</m:t>
            </m:r>
          </m:sub>
        </m:sSub>
        <m:r>
          <m:rPr>
            <m:sty m:val="p"/>
          </m:rPr>
          <m:t>)</m:t>
        </m:r>
      </m:oMath>
      <w:r>
        <w:t xml:space="preserve">.</w:t>
      </w:r>
    </w:p>
    <w:p>
      <w:pPr>
        <w:pStyle w:val="CaptionedFigure"/>
      </w:pPr>
      <w:r>
        <w:drawing>
          <wp:inline>
            <wp:extent cx="5669280" cy="3047238"/>
            <wp:effectExtent b="0" l="0" r="0" t="0"/>
            <wp:docPr descr="Annual concentration and lagged exposure among workers still observed." title="" id="31" name="Picture"/>
            <a:graphic>
              <a:graphicData uri="http://schemas.openxmlformats.org/drawingml/2006/picture">
                <pic:pic>
                  <pic:nvPicPr>
                    <pic:cNvPr descr="longitudinal_figures/exposure_history.png" id="32" name="Picture"/>
                    <pic:cNvPicPr>
                      <a:picLocks noChangeArrowheads="1" noChangeAspect="1"/>
                    </pic:cNvPicPr>
                  </pic:nvPicPr>
                  <pic:blipFill>
                    <a:blip r:embed="rId30"/>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Annual concentration and lagged exposure among workers still observed.</w:t>
      </w:r>
    </w:p>
    <w:p>
      <w:pPr>
        <w:pStyle w:val="BodyText"/>
      </w:pPr>
      <w:r>
        <w:t xml:space="preserve">The concentration reduction starts at year three. Under a five-year lag it has little or no effect within eight years. This scenario does not estimate preventive efficacy. Full schedules are latent simulation inputs; post-event values enter neither observed exposure plots nor analysis risk sets.</w:t>
      </w:r>
    </w:p>
    <w:p>
      <w:r>
        <w:br w:type="page"/>
      </w:r>
    </w:p>
    <w:bookmarkEnd w:id="33"/>
    <w:bookmarkStart w:id="37" w:name="X5277045fa20fc23146c93185d4d124b0365ac5f"/>
    <w:p>
      <w:pPr>
        <w:pStyle w:val="Heading2"/>
      </w:pPr>
      <w:r>
        <w:t xml:space="preserve">Cumulative incidence with competing death</w:t>
      </w:r>
    </w:p>
    <w:p>
      <w:pPr>
        <w:pStyle w:val="FirstParagraph"/>
      </w:pPr>
      <w:r>
        <w:t xml:space="preserve">Aalen–Johansen estimation weights each cause’s event fraction by survival free of either event:</w:t>
      </w:r>
    </w:p>
    <w:p>
      <w:pPr>
        <w:pStyle w:val="BodyText"/>
      </w:pPr>
      <m:oMathPara>
        <m:oMathParaPr>
          <m:jc m:val="center"/>
        </m:oMathParaPr>
        <m:oMath>
          <m:sSub>
            <m:e>
              <m:acc>
                <m:accPr>
                  <m:chr m:val="̂"/>
                </m:accPr>
                <m:e>
                  <m:r>
                    <m:t>F</m:t>
                  </m:r>
                </m:e>
              </m:acc>
            </m:e>
            <m:sub>
              <m:r>
                <m:t>k</m:t>
              </m:r>
            </m:sub>
          </m:sSub>
          <m:r>
            <m:rPr>
              <m:sty m:val="p"/>
            </m:rPr>
            <m:t>(</m:t>
          </m:r>
          <m:r>
            <m:t>t</m:t>
          </m:r>
          <m:r>
            <m:rPr>
              <m:sty m:val="p"/>
            </m:rPr>
            <m:t>)</m:t>
          </m:r>
          <m:r>
            <m:rPr>
              <m:sty m:val="p"/>
            </m:rPr>
            <m:t>=</m:t>
          </m:r>
          <m:nary>
            <m:naryPr>
              <m:chr m:val="∑"/>
              <m:limLoc m:val="undOvr"/>
              <m:subHide m:val="off"/>
              <m:supHide m:val="on"/>
            </m:naryPr>
            <m:sub>
              <m:sSub>
                <m:e>
                  <m:r>
                    <m:t>t</m:t>
                  </m:r>
                </m:e>
                <m:sub>
                  <m:r>
                    <m:t>j</m:t>
                  </m:r>
                </m:sub>
              </m:sSub>
              <m:r>
                <m:rPr>
                  <m:sty m:val="p"/>
                </m:rPr>
                <m:t>≤</m:t>
              </m:r>
              <m:r>
                <m:t>t</m:t>
              </m:r>
            </m:sub>
            <m:sup>
              <m:r>
                <m:t>​</m:t>
              </m:r>
            </m:sup>
            <m:e>
              <m:acc>
                <m:accPr>
                  <m:chr m:val="̂"/>
                </m:accPr>
                <m:e>
                  <m:r>
                    <m:t>S</m:t>
                  </m:r>
                </m:e>
              </m:acc>
            </m:e>
          </m:nary>
          <m:r>
            <m:rPr>
              <m:sty m:val="p"/>
            </m:rPr>
            <m:t>(</m:t>
          </m:r>
          <m:sSub>
            <m:e>
              <m:r>
                <m:t>t</m:t>
              </m:r>
            </m:e>
            <m:sub>
              <m:r>
                <m:t>j</m:t>
              </m:r>
            </m:sub>
          </m:sSub>
          <m:r>
            <m:rPr>
              <m:sty m:val="p"/>
            </m:rPr>
            <m:t>−</m:t>
          </m:r>
          <m:r>
            <m:rPr>
              <m:sty m:val="p"/>
            </m:rPr>
            <m:t>)</m:t>
          </m:r>
          <m:f>
            <m:fPr>
              <m:type m:val="bar"/>
            </m:fPr>
            <m:num>
              <m:sSub>
                <m:e>
                  <m:r>
                    <m:t>d</m:t>
                  </m:r>
                </m:e>
                <m:sub>
                  <m:r>
                    <m:t>j</m:t>
                  </m:r>
                  <m:r>
                    <m:t>k</m:t>
                  </m:r>
                </m:sub>
              </m:sSub>
            </m:num>
            <m:den>
              <m:sSub>
                <m:e>
                  <m:r>
                    <m:t>n</m:t>
                  </m:r>
                </m:e>
                <m:sub>
                  <m:r>
                    <m:t>j</m:t>
                  </m:r>
                </m:sub>
              </m:sSub>
            </m:den>
          </m:f>
          <m:r>
            <m:rPr>
              <m:sty m:val="p"/>
            </m:rPr>
            <m:t>,</m:t>
          </m:r>
          <m:r>
            <m:t>  </m:t>
          </m:r>
          <m:acc>
            <m:accPr>
              <m:chr m:val="̂"/>
            </m:accPr>
            <m:e>
              <m:r>
                <m:t>S</m:t>
              </m:r>
            </m:e>
          </m:acc>
          <m:r>
            <m:rPr>
              <m:sty m:val="p"/>
            </m:rPr>
            <m:t>(</m:t>
          </m:r>
          <m:r>
            <m:t>t</m:t>
          </m:r>
          <m:r>
            <m:rPr>
              <m:sty m:val="p"/>
            </m:rPr>
            <m:t>)</m:t>
          </m:r>
          <m:r>
            <m:rPr>
              <m:sty m:val="p"/>
            </m:rPr>
            <m:t>=</m:t>
          </m:r>
          <m:nary>
            <m:naryPr>
              <m:chr m:val="∏"/>
              <m:limLoc m:val="undOvr"/>
              <m:subHide m:val="off"/>
              <m:supHide m:val="on"/>
            </m:naryPr>
            <m:sub>
              <m:sSub>
                <m:e>
                  <m:r>
                    <m:t>t</m:t>
                  </m:r>
                </m:e>
                <m:sub>
                  <m:r>
                    <m:t>j</m:t>
                  </m:r>
                </m:sub>
              </m:sSub>
              <m:r>
                <m:rPr>
                  <m:sty m:val="p"/>
                </m:rPr>
                <m:t>≤</m:t>
              </m:r>
              <m:r>
                <m:t>t</m:t>
              </m:r>
            </m:sub>
            <m:sup>
              <m:r>
                <m:t>​</m:t>
              </m:r>
            </m:sup>
            <m:e>
              <m:d>
                <m:dPr>
                  <m:begChr m:val="("/>
                  <m:sepChr m:val=""/>
                  <m:endChr m:val=")"/>
                  <m:grow/>
                </m:dPr>
                <m:e>
                  <m:r>
                    <m:t>1</m:t>
                  </m:r>
                  <m:r>
                    <m:rPr>
                      <m:sty m:val="p"/>
                    </m:rPr>
                    <m:t>−</m:t>
                  </m:r>
                  <m:f>
                    <m:fPr>
                      <m:type m:val="bar"/>
                    </m:fPr>
                    <m:num>
                      <m:sSub>
                        <m:e>
                          <m:r>
                            <m:t>d</m:t>
                          </m:r>
                        </m:e>
                        <m:sub>
                          <m:r>
                            <m:t>j</m:t>
                          </m:r>
                          <m:r>
                            <m:t>1</m:t>
                          </m:r>
                        </m:sub>
                      </m:sSub>
                      <m:r>
                        <m:rPr>
                          <m:sty m:val="p"/>
                        </m:rPr>
                        <m:t>+</m:t>
                      </m:r>
                      <m:sSub>
                        <m:e>
                          <m:r>
                            <m:t>d</m:t>
                          </m:r>
                        </m:e>
                        <m:sub>
                          <m:r>
                            <m:t>j</m:t>
                          </m:r>
                          <m:r>
                            <m:t>2</m:t>
                          </m:r>
                        </m:sub>
                      </m:sSub>
                    </m:num>
                    <m:den>
                      <m:sSub>
                        <m:e>
                          <m:r>
                            <m:t>n</m:t>
                          </m:r>
                        </m:e>
                        <m:sub>
                          <m:r>
                            <m:t>j</m:t>
                          </m:r>
                        </m:sub>
                      </m:sSub>
                    </m:den>
                  </m:f>
                </m:e>
              </m:d>
            </m:e>
          </m:nary>
          <m:r>
            <m:rPr>
              <m:sty m:val="p"/>
            </m:rPr>
            <m:t>.</m:t>
          </m:r>
        </m:oMath>
      </m:oMathPara>
    </w:p>
    <w:p>
      <w:pPr>
        <w:pStyle w:val="FirstParagraph"/>
      </w:pPr>
      <w:r>
        <w:t xml:space="preserve">R</w:t>
      </w:r>
      <w:r>
        <w:t xml:space="preserve"> </w:t>
      </w:r>
      <w:r>
        <w:rPr>
          <w:rStyle w:val="VerbatimChar"/>
        </w:rPr>
        <w:t xml:space="preserve">survfit</w:t>
      </w:r>
      <w:r>
        <w:t xml:space="preserve"> </w:t>
      </w:r>
      <w:r>
        <w:t xml:space="preserve">treats diagnosis and death as mutually exclusive absorbing states. Whole workers are resampled 200 times within each displayed group. Percentile 95% intervals are pointwise and assume independent workers; 200 replicates have appreciable Monte Carlo uncertainty. No Fine–Gray regression is fitted.</w:t>
      </w:r>
    </w:p>
    <w:p>
      <w:pPr>
        <w:pStyle w:val="CaptionedFigure"/>
      </w:pPr>
      <w:r>
        <w:drawing>
          <wp:inline>
            <wp:extent cx="5669280" cy="3047238"/>
            <wp:effectExtent b="0" l="0" r="0" t="0"/>
            <wp:docPr descr="Aalen Johansen estimates and bootstrap intervals. Dashed curve is one minus Kaplan Meier with death censored." title="" id="35" name="Picture"/>
            <a:graphic>
              <a:graphicData uri="http://schemas.openxmlformats.org/drawingml/2006/picture">
                <pic:pic>
                  <pic:nvPicPr>
                    <pic:cNvPr descr="longitudinal_figures/cumulative_incidence.png" id="36" name="Picture"/>
                    <pic:cNvPicPr>
                      <a:picLocks noChangeArrowheads="1" noChangeAspect="1"/>
                    </pic:cNvPicPr>
                  </pic:nvPicPr>
                  <pic:blipFill>
                    <a:blip r:embed="rId34"/>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Aalen Johansen estimates and bootstrap intervals. Dashed curve is one minus Kaplan Meier with death censored.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cause</w:t>
            </w:r>
          </w:p>
        </w:tc>
        <w:tc>
          <w:tcPr/>
          <w:p>
            <w:pPr>
              <w:pStyle w:val="Compact"/>
              <w:jc w:val="right"/>
            </w:pPr>
            <w:r>
              <w:t xml:space="preserve">cif</w:t>
            </w:r>
          </w:p>
        </w:tc>
        <w:tc>
          <w:tcPr/>
          <w:p>
            <w:pPr>
              <w:pStyle w:val="Compact"/>
              <w:jc w:val="right"/>
            </w:pPr>
            <w:r>
              <w:t xml:space="preserve">lower</w:t>
            </w:r>
          </w:p>
        </w:tc>
        <w:tc>
          <w:tcPr/>
          <w:p>
            <w:pPr>
              <w:pStyle w:val="Compact"/>
              <w:jc w:val="right"/>
            </w:pPr>
            <w:r>
              <w:t xml:space="preserve">upper</w:t>
            </w:r>
          </w:p>
        </w:tc>
      </w:tr>
      <w:tr>
        <w:tc>
          <w:tcPr/>
          <w:p>
            <w:pPr>
              <w:pStyle w:val="Compact"/>
              <w:jc w:val="left"/>
            </w:pPr>
            <w:r>
              <w:t xml:space="preserve">disease</w:t>
            </w:r>
          </w:p>
        </w:tc>
        <w:tc>
          <w:tcPr/>
          <w:p>
            <w:pPr>
              <w:pStyle w:val="Compact"/>
              <w:jc w:val="right"/>
            </w:pPr>
            <w:r>
              <w:t xml:space="preserve">0.217</w:t>
            </w:r>
          </w:p>
        </w:tc>
        <w:tc>
          <w:tcPr/>
          <w:p>
            <w:pPr>
              <w:pStyle w:val="Compact"/>
              <w:jc w:val="right"/>
            </w:pPr>
            <w:r>
              <w:t xml:space="preserve">0.183</w:t>
            </w:r>
          </w:p>
        </w:tc>
        <w:tc>
          <w:tcPr/>
          <w:p>
            <w:pPr>
              <w:pStyle w:val="Compact"/>
              <w:jc w:val="right"/>
            </w:pPr>
            <w:r>
              <w:t xml:space="preserve">0.259</w:t>
            </w:r>
          </w:p>
        </w:tc>
      </w:tr>
      <w:tr>
        <w:tc>
          <w:tcPr/>
          <w:p>
            <w:pPr>
              <w:pStyle w:val="Compact"/>
              <w:jc w:val="left"/>
            </w:pPr>
            <w:r>
              <w:t xml:space="preserve">death</w:t>
            </w:r>
          </w:p>
        </w:tc>
        <w:tc>
          <w:tcPr/>
          <w:p>
            <w:pPr>
              <w:pStyle w:val="Compact"/>
              <w:jc w:val="right"/>
            </w:pPr>
            <w:r>
              <w:t xml:space="preserve">0.198</w:t>
            </w:r>
          </w:p>
        </w:tc>
        <w:tc>
          <w:tcPr/>
          <w:p>
            <w:pPr>
              <w:pStyle w:val="Compact"/>
              <w:jc w:val="right"/>
            </w:pPr>
            <w:r>
              <w:t xml:space="preserve">0.157</w:t>
            </w:r>
          </w:p>
        </w:tc>
        <w:tc>
          <w:tcPr/>
          <w:p>
            <w:pPr>
              <w:pStyle w:val="Compact"/>
              <w:jc w:val="right"/>
            </w:pPr>
            <w:r>
              <w:t xml:space="preserve">0.240</w:t>
            </w:r>
          </w:p>
        </w:tc>
      </w:tr>
    </w:tbl>
    <w:p>
      <w:pPr>
        <w:pStyle w:val="BodyText"/>
      </w:pPr>
      <w:r>
        <w:t xml:space="preserve">Cause-specific hazard ratios describe rates among workers free of either event; they are not cumulative-incidence risk ratios. Censoring competing deaths in one minus Kaplan–Meier estimates a different quantity and overstates diagnosis probability in this simulation.</w:t>
      </w:r>
    </w:p>
    <w:p>
      <w:r>
        <w:br w:type="page"/>
      </w:r>
    </w:p>
    <w:bookmarkEnd w:id="37"/>
    <w:bookmarkStart w:id="41" w:name="longitudinal-associations"/>
    <w:p>
      <w:pPr>
        <w:pStyle w:val="Heading2"/>
      </w:pPr>
      <w:r>
        <w:t xml:space="preserve">Longitudinal associations</w:t>
      </w:r>
    </w:p>
    <w:p>
      <w:pPr>
        <w:pStyle w:val="CaptionedFigure"/>
      </w:pPr>
      <w:r>
        <w:drawing>
          <wp:inline>
            <wp:extent cx="5669280" cy="3047238"/>
            <wp:effectExtent b="0" l="0" r="0" t="0"/>
            <wp:docPr descr="Cause-specific Cox estimates with time-varying exposure. Crosses show generating effects." title="" id="39" name="Picture"/>
            <a:graphic>
              <a:graphicData uri="http://schemas.openxmlformats.org/drawingml/2006/picture">
                <pic:pic>
                  <pic:nvPicPr>
                    <pic:cNvPr descr="longitudinal_figures/time_varying_hr.png" id="40" name="Picture"/>
                    <pic:cNvPicPr>
                      <a:picLocks noChangeArrowheads="1" noChangeAspect="1"/>
                    </pic:cNvPicPr>
                  </pic:nvPicPr>
                  <pic:blipFill>
                    <a:blip r:embed="rId38"/>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Cause-specific Cox estimates with time-varying exposure. Crosses show generating effects.</w:t>
      </w:r>
    </w:p>
    <w:p>
      <w:pPr>
        <w:pStyle w:val="BodyText"/>
      </w:pPr>
      <w:r>
        <w:t xml:space="preserve">Diagnosis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HR</w:t>
            </w:r>
          </w:p>
        </w:tc>
        <w:tc>
          <w:tcPr/>
          <w:p>
            <w:pPr>
              <w:pStyle w:val="Compact"/>
              <w:jc w:val="left"/>
            </w:pPr>
            <w:r>
              <w:t xml:space="preserve">95 percent interval</w:t>
            </w:r>
          </w:p>
        </w:tc>
        <w:tc>
          <w:tcPr/>
          <w:p>
            <w:pPr>
              <w:pStyle w:val="Compact"/>
              <w:jc w:val="right"/>
            </w:pPr>
            <w:r>
              <w:t xml:space="preserve">P</w:t>
            </w:r>
          </w:p>
        </w:tc>
      </w:tr>
      <w:tr>
        <w:tc>
          <w:tcPr/>
          <w:p>
            <w:pPr>
              <w:pStyle w:val="Compact"/>
              <w:jc w:val="left"/>
            </w:pPr>
            <w:r>
              <w:t xml:space="preserve">log2_1plus_lagged</w:t>
            </w:r>
          </w:p>
        </w:tc>
        <w:tc>
          <w:tcPr/>
          <w:p>
            <w:pPr>
              <w:pStyle w:val="Compact"/>
              <w:jc w:val="right"/>
            </w:pPr>
            <w:r>
              <w:t xml:space="preserve">1.759</w:t>
            </w:r>
          </w:p>
        </w:tc>
        <w:tc>
          <w:tcPr/>
          <w:p>
            <w:pPr>
              <w:pStyle w:val="Compact"/>
              <w:jc w:val="left"/>
            </w:pPr>
            <w:r>
              <w:t xml:space="preserve">1.253 to 2.468</w:t>
            </w:r>
          </w:p>
        </w:tc>
        <w:tc>
          <w:tcPr/>
          <w:p>
            <w:pPr>
              <w:pStyle w:val="Compact"/>
              <w:jc w:val="right"/>
            </w:pPr>
            <w:r>
              <w:t xml:space="preserve">0.001</w:t>
            </w:r>
          </w:p>
        </w:tc>
      </w:tr>
      <w:tr>
        <w:tc>
          <w:tcPr/>
          <w:p>
            <w:pPr>
              <w:pStyle w:val="Compact"/>
              <w:jc w:val="left"/>
            </w:pPr>
            <w:r>
              <w:t xml:space="preserve">age_per_decade</w:t>
            </w:r>
          </w:p>
        </w:tc>
        <w:tc>
          <w:tcPr/>
          <w:p>
            <w:pPr>
              <w:pStyle w:val="Compact"/>
              <w:jc w:val="right"/>
            </w:pPr>
            <w:r>
              <w:t xml:space="preserve">1.264</w:t>
            </w:r>
          </w:p>
        </w:tc>
        <w:tc>
          <w:tcPr/>
          <w:p>
            <w:pPr>
              <w:pStyle w:val="Compact"/>
              <w:jc w:val="left"/>
            </w:pPr>
            <w:r>
              <w:t xml:space="preserve">1.035 to 1.544</w:t>
            </w:r>
          </w:p>
        </w:tc>
        <w:tc>
          <w:tcPr/>
          <w:p>
            <w:pPr>
              <w:pStyle w:val="Compact"/>
              <w:jc w:val="right"/>
            </w:pPr>
            <w:r>
              <w:t xml:space="preserve">0.022</w:t>
            </w:r>
          </w:p>
        </w:tc>
      </w:tr>
      <w:tr>
        <w:tc>
          <w:tcPr/>
          <w:p>
            <w:pPr>
              <w:pStyle w:val="Compact"/>
              <w:jc w:val="left"/>
            </w:pPr>
            <w:r>
              <w:t xml:space="preserve">smoker</w:t>
            </w:r>
          </w:p>
        </w:tc>
        <w:tc>
          <w:tcPr/>
          <w:p>
            <w:pPr>
              <w:pStyle w:val="Compact"/>
              <w:jc w:val="right"/>
            </w:pPr>
            <w:r>
              <w:t xml:space="preserve">1.354</w:t>
            </w:r>
          </w:p>
        </w:tc>
        <w:tc>
          <w:tcPr/>
          <w:p>
            <w:pPr>
              <w:pStyle w:val="Compact"/>
              <w:jc w:val="left"/>
            </w:pPr>
            <w:r>
              <w:t xml:space="preserve">0.889 to 2.063</w:t>
            </w:r>
          </w:p>
        </w:tc>
        <w:tc>
          <w:tcPr/>
          <w:p>
            <w:pPr>
              <w:pStyle w:val="Compact"/>
              <w:jc w:val="right"/>
            </w:pPr>
            <w:r>
              <w:t xml:space="preserve">0.158</w:t>
            </w:r>
          </w:p>
        </w:tc>
      </w:tr>
    </w:tbl>
    <w:p>
      <w:pPr>
        <w:pStyle w:val="BodyText"/>
      </w:pPr>
      <w:r>
        <w:t xml:space="preserve">Competing death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HR</w:t>
            </w:r>
          </w:p>
        </w:tc>
        <w:tc>
          <w:tcPr/>
          <w:p>
            <w:pPr>
              <w:pStyle w:val="Compact"/>
              <w:jc w:val="left"/>
            </w:pPr>
            <w:r>
              <w:t xml:space="preserve">95 percent interval</w:t>
            </w:r>
          </w:p>
        </w:tc>
        <w:tc>
          <w:tcPr/>
          <w:p>
            <w:pPr>
              <w:pStyle w:val="Compact"/>
              <w:jc w:val="right"/>
            </w:pPr>
            <w:r>
              <w:t xml:space="preserve">P</w:t>
            </w:r>
          </w:p>
        </w:tc>
      </w:tr>
      <w:tr>
        <w:tc>
          <w:tcPr/>
          <w:p>
            <w:pPr>
              <w:pStyle w:val="Compact"/>
              <w:jc w:val="left"/>
            </w:pPr>
            <w:r>
              <w:t xml:space="preserve">log2_1plus_lagged</w:t>
            </w:r>
          </w:p>
        </w:tc>
        <w:tc>
          <w:tcPr/>
          <w:p>
            <w:pPr>
              <w:pStyle w:val="Compact"/>
              <w:jc w:val="right"/>
            </w:pPr>
            <w:r>
              <w:t xml:space="preserve">1.078</w:t>
            </w:r>
          </w:p>
        </w:tc>
        <w:tc>
          <w:tcPr/>
          <w:p>
            <w:pPr>
              <w:pStyle w:val="Compact"/>
              <w:jc w:val="left"/>
            </w:pPr>
            <w:r>
              <w:t xml:space="preserve">0.728 to 1.595</w:t>
            </w:r>
          </w:p>
        </w:tc>
        <w:tc>
          <w:tcPr/>
          <w:p>
            <w:pPr>
              <w:pStyle w:val="Compact"/>
              <w:jc w:val="right"/>
            </w:pPr>
            <w:r>
              <w:t xml:space="preserve">0.709</w:t>
            </w:r>
          </w:p>
        </w:tc>
      </w:tr>
      <w:tr>
        <w:tc>
          <w:tcPr/>
          <w:p>
            <w:pPr>
              <w:pStyle w:val="Compact"/>
              <w:jc w:val="left"/>
            </w:pPr>
            <w:r>
              <w:t xml:space="preserve">age_per_decade</w:t>
            </w:r>
          </w:p>
        </w:tc>
        <w:tc>
          <w:tcPr/>
          <w:p>
            <w:pPr>
              <w:pStyle w:val="Compact"/>
              <w:jc w:val="right"/>
            </w:pPr>
            <w:r>
              <w:t xml:space="preserve">1.360</w:t>
            </w:r>
          </w:p>
        </w:tc>
        <w:tc>
          <w:tcPr/>
          <w:p>
            <w:pPr>
              <w:pStyle w:val="Compact"/>
              <w:jc w:val="left"/>
            </w:pPr>
            <w:r>
              <w:t xml:space="preserve">1.110 to 1.666</w:t>
            </w:r>
          </w:p>
        </w:tc>
        <w:tc>
          <w:tcPr/>
          <w:p>
            <w:pPr>
              <w:pStyle w:val="Compact"/>
              <w:jc w:val="right"/>
            </w:pPr>
            <w:r>
              <w:t xml:space="preserve">0.003</w:t>
            </w:r>
          </w:p>
        </w:tc>
      </w:tr>
      <w:tr>
        <w:tc>
          <w:tcPr/>
          <w:p>
            <w:pPr>
              <w:pStyle w:val="Compact"/>
              <w:jc w:val="left"/>
            </w:pPr>
            <w:r>
              <w:t xml:space="preserve">smoker</w:t>
            </w:r>
          </w:p>
        </w:tc>
        <w:tc>
          <w:tcPr/>
          <w:p>
            <w:pPr>
              <w:pStyle w:val="Compact"/>
              <w:jc w:val="right"/>
            </w:pPr>
            <w:r>
              <w:t xml:space="preserve">0.848</w:t>
            </w:r>
          </w:p>
        </w:tc>
        <w:tc>
          <w:tcPr/>
          <w:p>
            <w:pPr>
              <w:pStyle w:val="Compact"/>
              <w:jc w:val="left"/>
            </w:pPr>
            <w:r>
              <w:t xml:space="preserve">0.530 to 1.355</w:t>
            </w:r>
          </w:p>
        </w:tc>
        <w:tc>
          <w:tcPr/>
          <w:p>
            <w:pPr>
              <w:pStyle w:val="Compact"/>
              <w:jc w:val="right"/>
            </w:pPr>
            <w:r>
              <w:t xml:space="preserve">0.491</w:t>
            </w:r>
          </w:p>
        </w:tc>
      </w:tr>
    </w:tbl>
    <w:p>
      <w:pPr>
        <w:pStyle w:val="BodyText"/>
      </w:pPr>
      <w:r>
        <w:t xml:space="preserve">Both models use model-based information under independent workers and first-event follow-up. Repeated intervals do not represent independent recurrent events. The assumed effects are simulation inputs, not external reference estimates. Agreement with them in one realisation is not evidence of unbiased estimation or adequate power.</w:t>
      </w:r>
    </w:p>
    <w:p>
      <w:r>
        <w:br w:type="page"/>
      </w:r>
    </w:p>
    <w:bookmarkEnd w:id="41"/>
    <w:bookmarkStart w:id="47" w:name="industry-patterns-and-reproducibility"/>
    <w:p>
      <w:pPr>
        <w:pStyle w:val="Heading2"/>
      </w:pPr>
      <w:r>
        <w:t xml:space="preserve">Industry patterns and reproducibility</w:t>
      </w:r>
    </w:p>
    <w:p>
      <w:pPr>
        <w:pStyle w:val="CaptionedFigure"/>
      </w:pPr>
      <w:r>
        <w:drawing>
          <wp:inline>
            <wp:extent cx="5669280" cy="3047238"/>
            <wp:effectExtent b="0" l="0" r="0" t="0"/>
            <wp:docPr descr="Unadjusted industry-specific disease cumulative incidence." title="" id="43" name="Picture"/>
            <a:graphic>
              <a:graphicData uri="http://schemas.openxmlformats.org/drawingml/2006/picture">
                <pic:pic>
                  <pic:nvPicPr>
                    <pic:cNvPr descr="longitudinal_figures/cif_by_industry.png" id="44" name="Picture"/>
                    <pic:cNvPicPr>
                      <a:picLocks noChangeArrowheads="1" noChangeAspect="1"/>
                    </pic:cNvPicPr>
                  </pic:nvPicPr>
                  <pic:blipFill>
                    <a:blip r:embed="rId42"/>
                    <a:stretch>
                      <a:fillRect/>
                    </a:stretch>
                  </pic:blipFill>
                  <pic:spPr bwMode="auto">
                    <a:xfrm>
                      <a:off x="0" y="0"/>
                      <a:ext cx="5669280" cy="3047238"/>
                    </a:xfrm>
                    <a:prstGeom prst="rect">
                      <a:avLst/>
                    </a:prstGeom>
                    <a:noFill/>
                    <a:ln w="9525">
                      <a:noFill/>
                      <a:headEnd/>
                      <a:tailEnd/>
                    </a:ln>
                  </pic:spPr>
                </pic:pic>
              </a:graphicData>
            </a:graphic>
          </wp:inline>
        </w:drawing>
      </w:r>
    </w:p>
    <w:p>
      <w:pPr>
        <w:pStyle w:val="ImageCaption"/>
      </w:pPr>
      <w:r>
        <w:t xml:space="preserve">Unadjusted industry-specific disease cumulative incidence.</w:t>
      </w:r>
    </w:p>
    <w:p>
      <w:pPr>
        <w:pStyle w:val="BodyText"/>
      </w:pPr>
      <w:r>
        <w:t xml:space="preserve">Nextflow orchestrates simulation, QC, R analysis, independent Python checks and Quarto rendering. Python simulation and QC are retained to preserve reference records. R produces statistical estimates and figures; Quarto executes R report chunks and converts equations into editable Word mathematics through Pandoc.</w:t>
      </w:r>
    </w:p>
    <w:p>
      <w:pPr>
        <w:pStyle w:val="BodyText"/>
      </w:pPr>
      <w:r>
        <w:t xml:space="preserve">Deterministic estimates use absolute tolerance</w:t>
      </w:r>
      <w:r>
        <w:t xml:space="preserve"> </w:t>
      </w:r>
      <m:oMath>
        <m:sSup>
          <m:e>
            <m:r>
              <m:t>10</m:t>
            </m:r>
          </m:e>
          <m:sup>
            <m:r>
              <m:rPr>
                <m:sty m:val="p"/>
              </m:rPr>
              <m:t>−</m:t>
            </m:r>
            <m:r>
              <m:t>7</m:t>
            </m:r>
          </m:sup>
        </m:sSup>
      </m:oMath>
      <w:r>
        <w:t xml:space="preserve">; Aalen–Johansen and shared-index bootstrap intervals use</w:t>
      </w:r>
      <w:r>
        <w:t xml:space="preserve"> </w:t>
      </w:r>
      <m:oMath>
        <m:sSup>
          <m:e>
            <m:r>
              <m:t>10</m:t>
            </m:r>
          </m:e>
          <m:sup>
            <m:r>
              <m:rPr>
                <m:sty m:val="p"/>
              </m:rPr>
              <m:t>−</m:t>
            </m:r>
            <m:r>
              <m:t>12</m:t>
            </m:r>
          </m:sup>
        </m:sSup>
      </m:oMath>
      <w:r>
        <w:t xml:space="preserve">. Kaplan–Meier bounds are independently recomputed in Python with the same exact normal quantile as R and compared at</w:t>
      </w:r>
      <w:r>
        <w:t xml:space="preserve"> </w:t>
      </w:r>
      <m:oMath>
        <m:sSup>
          <m:e>
            <m:r>
              <m:t>10</m:t>
            </m:r>
          </m:e>
          <m:sup>
            <m:r>
              <m:rPr>
                <m:sty m:val="p"/>
              </m:rPr>
              <m:t>−</m:t>
            </m:r>
            <m:r>
              <m:t>12</m:t>
            </m:r>
          </m:sup>
        </m:sSup>
      </m:oMath>
      <w:r>
        <w:t xml:space="preserve">. The historical rounded</w:t>
      </w:r>
      <w:r>
        <w:t xml:space="preserve"> </w:t>
      </w:r>
      <m:oMath>
        <m:r>
          <m:t>z</m:t>
        </m:r>
        <m:r>
          <m:rPr>
            <m:sty m:val="p"/>
          </m:rPr>
          <m:t>=</m:t>
        </m:r>
        <m:r>
          <m:t>1.96</m:t>
        </m:r>
      </m:oMath>
      <w:r>
        <w:t xml:space="preserve"> </w:t>
      </w:r>
      <w:r>
        <w:t xml:space="preserve">table is retained for audit. Model-skip decisions must agree. Saved bootstrap indices make interval checks independent of language-specific random generators.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right"/>
            </w:pPr>
            <w:r>
              <w:t xml:space="preserve">Comparisons</w:t>
            </w:r>
          </w:p>
        </w:tc>
        <w:tc>
          <w:tcPr/>
          <w:p>
            <w:pPr>
              <w:pStyle w:val="Compact"/>
              <w:jc w:val="left"/>
            </w:pPr>
            <w:r>
              <w:t xml:space="preserve">Largest absolute difference</w:t>
            </w:r>
          </w:p>
        </w:tc>
      </w:tr>
      <w:tr>
        <w:tc>
          <w:tcPr/>
          <w:p>
            <w:pPr>
              <w:pStyle w:val="Compact"/>
              <w:jc w:val="left"/>
            </w:pPr>
            <w:r>
              <w:t xml:space="preserve">PASS</w:t>
            </w:r>
          </w:p>
        </w:tc>
        <w:tc>
          <w:tcPr/>
          <w:p>
            <w:pPr>
              <w:pStyle w:val="Compact"/>
              <w:jc w:val="right"/>
            </w:pPr>
            <w:r>
              <w:t xml:space="preserve">23</w:t>
            </w:r>
          </w:p>
        </w:tc>
        <w:tc>
          <w:tcPr/>
          <w:p>
            <w:pPr>
              <w:pStyle w:val="Compact"/>
              <w:jc w:val="left"/>
            </w:pPr>
            <w:r>
              <w:t xml:space="preserve">1.82e-12</w:t>
            </w:r>
          </w:p>
        </w:tc>
      </w:tr>
    </w:tbl>
    <w:p>
      <w:pPr>
        <w:pStyle w:val="BodyText"/>
      </w:pPr>
      <w:r>
        <w:t xml:space="preserve">This is one synthetic realisation, not a power, bias or coverage study. Assumptions include independent censoring, correctly specified effects, no unmeasured workplace frailty and accurate historical exposure. Complete-case regression does not correct missing-data bias. No national burden or causal intervention conclusions follow.</w:t>
      </w:r>
    </w:p>
    <w:p>
      <w:pPr>
        <w:pStyle w:val="BodyText"/>
      </w:pPr>
      <w:r>
        <w:t xml:space="preserve">Methods references:</w:t>
      </w:r>
      <w:r>
        <w:t xml:space="preserve"> </w:t>
      </w:r>
      <w:hyperlink r:id="rId45">
        <w:r>
          <w:rPr>
            <w:rStyle w:val="Hyperlink"/>
          </w:rPr>
          <w:t xml:space="preserve">R survival documentation</w:t>
        </w:r>
      </w:hyperlink>
      <w:r>
        <w:t xml:space="preserve"> </w:t>
      </w:r>
      <w:r>
        <w:t xml:space="preserve">for</w:t>
      </w:r>
      <w:r>
        <w:t xml:space="preserve"> </w:t>
      </w:r>
      <w:r>
        <w:rPr>
          <w:rStyle w:val="VerbatimChar"/>
        </w:rPr>
        <w:t xml:space="preserve">coxph</w:t>
      </w:r>
      <w:r>
        <w:t xml:space="preserve">,</w:t>
      </w:r>
      <w:r>
        <w:t xml:space="preserve"> </w:t>
      </w:r>
      <w:r>
        <w:rPr>
          <w:rStyle w:val="VerbatimChar"/>
        </w:rPr>
        <w:t xml:space="preserve">survfit</w:t>
      </w:r>
      <w:r>
        <w:t xml:space="preserve"> </w:t>
      </w:r>
      <w:r>
        <w:t xml:space="preserve">and</w:t>
      </w:r>
      <w:r>
        <w:t xml:space="preserve"> </w:t>
      </w:r>
      <w:r>
        <w:rPr>
          <w:rStyle w:val="VerbatimChar"/>
        </w:rPr>
        <w:t xml:space="preserve">cox.zph</w:t>
      </w:r>
      <w:r>
        <w:t xml:space="preserve">;</w:t>
      </w:r>
      <w:r>
        <w:t xml:space="preserve"> </w:t>
      </w:r>
      <w:hyperlink r:id="rId46">
        <w:r>
          <w:rPr>
            <w:rStyle w:val="Hyperlink"/>
          </w:rPr>
          <w:t xml:space="preserve">Quarto Word documentation</w:t>
        </w:r>
      </w:hyperlink>
      <w:r>
        <w:t xml:space="preserve">. Full mathematical methods, version records and validation outputs accompany the repository.</w:t>
      </w:r>
    </w:p>
    <w:bookmarkEnd w:id="47"/>
    <w:sectPr w:rsidR="00FC693F" w:rsidRPr="0006063C" w:rsidSect="00034616">
      <w:pgSz w:h="15840" w:w="12240"/>
      <w:pgMar w:bottom="1008"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480"/>
      <w:outlineLvl w:val="0"/>
    </w:pPr>
    <w:rPr>
      <w:rFonts w:ascii="Calibri" w:asciiTheme="majorHAnsi" w:cstheme="majorBidi" w:eastAsiaTheme="majorEastAsia" w:hAnsi="Calibri" w:hAnsiTheme="majorHAnsi"/>
      <w:b/>
      <w:bCs/>
      <w:color w:val="000000"/>
      <w:sz w:val="34"/>
      <w:szCs w:val="28"/>
    </w:rPr>
  </w:style>
  <w:style w:styleId="Heading2" w:type="paragraph">
    <w:name w:val="heading 2"/>
    <w:basedOn w:val="Normal"/>
    <w:next w:val="Normal"/>
    <w:link w:val="Heading2Char"/>
    <w:uiPriority w:val="9"/>
    <w:unhideWhenUsed/>
    <w:qFormat/>
    <w:rsid w:val="00FC693F"/>
    <w:pPr>
      <w:keepNext/>
      <w:keepLines/>
      <w:spacing w:after="140" w:before="200"/>
      <w:outlineLvl w:val="1"/>
    </w:pPr>
    <w:rPr>
      <w:rFonts w:ascii="Calibri" w:asciiTheme="majorHAnsi" w:cstheme="majorBidi" w:eastAsiaTheme="majorEastAsia" w:hAnsi="Calibri" w:hAnsiTheme="majorHAnsi"/>
      <w:b/>
      <w:bCs/>
      <w:color w:val="000000"/>
      <w:sz w:val="30"/>
      <w:szCs w:val="26"/>
    </w:rPr>
  </w:style>
  <w:style w:styleId="Heading3" w:type="paragraph">
    <w:name w:val="heading 3"/>
    <w:basedOn w:val="Normal"/>
    <w:next w:val="Normal"/>
    <w:link w:val="Heading3Char"/>
    <w:uiPriority w:val="9"/>
    <w:unhideWhenUsed/>
    <w:qFormat/>
    <w:rsid w:val="00FC693F"/>
    <w:pPr>
      <w:keepNext/>
      <w:keepLines/>
      <w:spacing w:after="140" w:before="200"/>
      <w:outlineLvl w:val="2"/>
    </w:pPr>
    <w:rPr>
      <w:rFonts w:ascii="Calibri" w:asciiTheme="majorHAnsi" w:cstheme="majorBidi" w:eastAsiaTheme="majorEastAsia" w:hAnsi="Calibri"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140" w:line="240" w:lineRule="auto"/>
      <w:contextualSpacing/>
    </w:pPr>
    <w:rPr>
      <w:rFonts w:ascii="Calibri" w:asciiTheme="majorHAnsi" w:cstheme="majorBidi" w:eastAsiaTheme="majorEastAsia" w:hAnsi="Calibri" w:hAnsiTheme="majorHAnsi"/>
      <w:color w:val="000000"/>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40"/>
    </w:pPr>
    <w:rPr>
      <w:rFonts w:ascii="Calibri" w:asciiTheme="majorHAnsi" w:cstheme="majorBidi" w:eastAsiaTheme="majorEastAsia" w:hAnsi="Calibri" w:hAnsiTheme="majorHAnsi"/>
      <w:i/>
      <w:iCs/>
      <w:color w:val="00000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40"/>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40" w:line="240" w:lineRule="auto"/>
    </w:pPr>
    <w:rPr>
      <w:rFonts w:ascii="Calibri" w:hAnsi="Calibri"/>
      <w:b/>
      <w:bCs/>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Table" w:type="table">
    <w:name w:val="Table"/>
    <w:rPr>
      <w:rFonts w:ascii="Calibri" w:hAnsi="Calibri"/>
      <w:sz w:val="20"/>
    </w:rPr>
    <w:tblPr>
      <w:tblBorders>
        <w:top w:color="D9D9D9" w:sz="4" w:val="single"/>
        <w:left w:color="D9D9D9" w:sz="4" w:val="single"/>
        <w:bottom w:color="D9D9D9" w:sz="4" w:val="single"/>
        <w:right w:color="D9D9D9" w:sz="4" w:val="single"/>
        <w:insideH w:color="D9D9D9" w:sz="4" w:val="single"/>
        <w:insideV w:color="D9D9D9" w:sz="4" w:val="single"/>
      </w:tblBorders>
      <w:tblCellMar>
        <w:top w:type="dxa" w:w="60"/>
        <w:left w:type="dxa" w:w="60"/>
        <w:bottom w:type="dxa" w:w="60"/>
        <w:right w:type="dxa" w:w="60"/>
      </w:tblCellMar>
    </w:tblPr>
    <w:pPr>
      <w:spacing w:after="40"/>
    </w:pPr>
    <w:tblStylePr w:type="firstRow">
      <w:rPr>
        <w:b/>
      </w:rPr>
      <w:tcPr>
        <w:shd w:fill="E7EEF3"/>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hyperlink" Id="rId46" Target="https://quarto.org/docs/output-formats/ms-word.html" TargetMode="External" /><Relationship Type="http://schemas.openxmlformats.org/officeDocument/2006/relationships/hyperlink" Id="rId45" Target="https://stat.ethz.ch/CRAN/web/packages/survival/refman/survival.html" TargetMode="External" /></Relationships>
</file>

<file path=word/_rels/footnotes.xml.rels><?xml version="1.0" encoding="UTF-8"?><Relationships xmlns="http://schemas.openxmlformats.org/package/2006/relationships"><Relationship Type="http://schemas.openxmlformats.org/officeDocument/2006/relationships/hyperlink" Id="rId46" Target="https://quarto.org/docs/output-formats/ms-word.html" TargetMode="External" /><Relationship Type="http://schemas.openxmlformats.org/officeDocument/2006/relationships/hyperlink" Id="rId45" Target="https://stat.ethz.ch/CRAN/web/packages/survival/refman/surviv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exposure and respiratory disease surveillance</dc:title>
  <dc:creator/>
  <cp:keywords/>
  <dcterms:created xsi:type="dcterms:W3CDTF">2026-10-25T08:17:53Z</dcterms:created>
  <dcterms:modified xsi:type="dcterms:W3CDTF">2026-10-25T08:17:53Z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Statistical analysis and reproducibility report</vt:lpwstr>
  </property>
  <property fmtid="{D5CDD505-2E9C-101B-9397-08002B2CF9AE}" pid="9" name="toc-title">
    <vt:lpwstr>Table of contents</vt:lpwstr>
  </property>
</Properties>
</file>