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Спектральна кластеризація. Концепція зв'язності графів.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Спектральна кластеризація — це метод групування об'єктів (зазвич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ай векторів даних) на основі аналізу власних значень і власних векторів матриці схожості чи вагової матриці графа, що представляє відносини між об'єктами. Основна ідея полягає в тому, що схожі об'єкти мають схожі власні вектори, і, отже, можуть бути об'єднані в один кластер.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Концепція зв'язності графів також важлива для розуміння спектральної кластеризації. Граф - це математична структура, що складається з вузлів (вершин) і ребер (зв'язків), які об'єднують вузли. Зв'язність графа вказує на те, наскільки легко можна пройти від одного вузла до іншого.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 контексті спектральної кластеризації зв'язність графа може визначатися через матрицю схожості між вузлами. Якщо вузли графа схожі між собою, то матриця схожості буде мати великі значення для пар схожих вузлів, і велика частина графа буде зв'язана. На відміну, якщо вузли менше схожі, значення в матриці схожості будуть меншими, і граф буде менш зв'язаним.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Процес спектральної кластеризації включає в себе обчислення власних векторів та власних значень матриці схожості чи лапласіана графа, а потім використання цих векторів для розділення об'єктів на кластери. Схожі об'єкти, які мають схожі власні вектори, зазвичай закінчують у тому ж кластері, що і розв'язок спектральної кластеризації.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Розглянемо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спектральну кластеризацію на основі схожості між об'єктами у двовимірному просторі. Припустимо, у нас є набір точок: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 (1, 2)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 (2, 3)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 (2, 5)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 (3, 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 (5, 6)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 (6, 5)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Ми можемо визначити схожість між точками, наприклад, використовуючи відстань між ними. Для простоти ми будемо використовувати відстань Евкліда. Після обчислення відстаней ми отримаємо матрицю схожості: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A  B  C  D  E  F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  0  1  3  2  5  6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  1  0  2  1  4  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  3  2  0  1  3  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  2  1  1  0  3  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  5  4  3  3  0  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  6  5  2  2  1 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Ця матриця схожості може бути використана для побудови лапласіана графа або іншої матриці, яка може бути використана для спектральної кластеризації.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Після обчислення власних векторів та власних значень ми можемо використовувати їх для розділення точок на кластери. Наприклад, якщо ми розглядаємо два найменших власних вектори, можемо використовувати їхні значення як координати у новому просторі і застосовувати до них, наприклад, k-середніх або інших методів кластеризації для визначення кластерів.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Це лише загальний приклад, і реальна реалізація спектральної кластеризації може бути більш складною в залежності від конкретного використання та вибору схожості між об'єктами.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Авторегресійна (AR) модель: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Авторегресійна модель (AR) є статистичною моделлю, яка описує залежність між значеннями змінної в часі та її попередніми значеннями. У вигляді рівняння AR(p), де p - це порядок моделі, вона визначається наступним чином: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y(t)=c+ϕ 1y(t−1)+ϕ 2y(t−2)+…+ϕ p y(t−p)+ϵ t,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shd w:val="clear" w:fill="FFFFFF" w:themeFill="background1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- значення змінної в часі на момент часу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</w:t>
      </w:r>
    </w:p>
    <w:p>
      <w:pPr>
        <w:shd w:val="clear" w:fill="FFFFFF" w:themeFill="background1"/>
        <w:jc w:val="left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- константа (зсув),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1"/>
          <w:szCs w:val="21"/>
          <w:bdr w:val="none" w:color="auto" w:sz="0" w:space="0"/>
          <w:shd w:val="clear" w:color="auto" w:fill="auto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�1,�2,…,��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ϕ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0"/>
          <w:szCs w:val="0"/>
          <w:shd w:val="clear" w:color="auto" w:fill="auto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1"/>
          <w:szCs w:val="1"/>
          <w:bdr w:val="none" w:color="auto" w:sz="0" w:space="0"/>
          <w:shd w:val="clear" w:color="auto" w:fill="auto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,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ϕ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0"/>
          <w:szCs w:val="0"/>
          <w:shd w:val="clear" w:color="auto" w:fill="auto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1"/>
          <w:szCs w:val="1"/>
          <w:bdr w:val="none" w:color="auto" w:sz="0" w:space="0"/>
          <w:shd w:val="clear" w:color="auto" w:fill="auto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,…,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ϕ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0"/>
          <w:szCs w:val="0"/>
          <w:shd w:val="clear" w:color="auto" w:fill="auto"/>
        </w:rPr>
        <w:t>p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1"/>
          <w:szCs w:val="1"/>
          <w:bdr w:val="none" w:color="auto" w:sz="0" w:space="0"/>
          <w:shd w:val="clear" w:color="auto" w:fill="auto"/>
        </w:rPr>
        <w:t>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t xml:space="preserve"> - параметри моделі,</w:t>
      </w:r>
    </w:p>
    <w:p>
      <w:pPr>
        <w:shd w:val="clear" w:fill="FFFFFF" w:themeFill="background1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(�−1),�(�−2),…,�(�−�)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−1),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−2),…,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−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p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- попередні значення змінної,</w:t>
      </w:r>
    </w:p>
    <w:p>
      <w:pPr>
        <w:shd w:val="clear" w:fill="FFFFFF" w:themeFill="background1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ϵ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0"/>
          <w:szCs w:val="0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- білий шум з нульовим середнім та фіксованою дисперсією.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 xml:space="preserve">Ця модель дозволяє враховувати попередні значення змінної для прогнозування її майбутніх значень. Важливо вибрати правильний порядок моделі (значення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>), що визначає, скільки попередніх значень використовується для прогнозу.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7"/>
          <w:szCs w:val="27"/>
          <w:bdr w:val="single" w:color="D9D9E3" w:sz="2" w:space="0"/>
          <w:shd w:val="clear" w:color="auto" w:fill="auto"/>
        </w:rPr>
        <w:t>Приклад: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>Нехай у нас є часовий ряд температур: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20,22,25,24,21,23,26,28,30,29,27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20,22,25,24,21,23,26,28,30,29,27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>Ми можемо побудувати AR(2) модель: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�(�)=�+�1�(�−1)+�2�(�−2)+��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)=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c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+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ϕ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0"/>
          <w:szCs w:val="0"/>
          <w:shd w:val="clear" w:color="auto" w:fill="auto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−1)+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ϕ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0"/>
          <w:szCs w:val="0"/>
          <w:shd w:val="clear" w:color="auto" w:fill="auto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−2)+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ϵ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0"/>
          <w:szCs w:val="0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1"/>
          <w:szCs w:val="1"/>
          <w:shd w:val="clear" w:color="auto" w:fill="auto"/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 xml:space="preserve">де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�(�)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 xml:space="preserve"> - температура на момент часу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 xml:space="preserve">,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�1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ϕ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0"/>
          <w:szCs w:val="0"/>
          <w:shd w:val="clear" w:color="auto" w:fill="auto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 xml:space="preserve"> і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�2</w:t>
      </w:r>
      <w:r>
        <w:rPr>
          <w:rFonts w:hint="default" w:ascii="Times New Roman" w:hAnsi="Times New Roman" w:eastAsia="KaTeX_Math" w:cs="Times New Roman"/>
          <w:i/>
          <w:iCs/>
          <w:caps w:val="0"/>
          <w:color w:val="auto"/>
          <w:spacing w:val="0"/>
          <w:sz w:val="21"/>
          <w:szCs w:val="21"/>
          <w:shd w:val="clear" w:color="auto" w:fill="auto"/>
        </w:rPr>
        <w:t>ϕ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0"/>
          <w:szCs w:val="0"/>
          <w:shd w:val="clear" w:color="auto" w:fill="auto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1"/>
          <w:szCs w:val="1"/>
          <w:shd w:val="clear" w:color="auto" w:fill="auto"/>
        </w:rPr>
        <w:t>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 xml:space="preserve"> - параметри моделі.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0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shd w:val="clear" w:color="auto" w:fill="auto"/>
        </w:rPr>
        <w:t>Ця модель буде враховувати вплив двох попередніх значень температури на її поточне значення. Параметри можуть бути оцінені за допомогою статистичних методів, таких як метод найменших квадратів.</w:t>
      </w:r>
    </w:p>
    <w:p>
      <w:pPr>
        <w:pStyle w:val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窗体底端</w:t>
      </w:r>
    </w:p>
    <w:p>
      <w:pPr>
        <w:shd w:val="clear" w:fill="FFFFFF" w:themeFill="background1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3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2023-12-08T14:25:01Z</dcterms:created>
  <dc:creator>PK</dc:creator>
  <cp:lastModifiedBy>Вадим Мищук</cp:lastModifiedBy>
  <dcterms:modified xsi:type="dcterms:W3CDTF">2023-12-08T14:31:57Z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CE1D310D68514303ABD4741B785802DC_12</vt:lpwstr>
  </property>
</Properties>
</file>