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1</w:t>
      </w:r>
    </w:p>
    <w:p>
      <w:pPr>
        <w:pStyle w:val="Subtitle"/>
      </w:pPr>
      <w:r>
        <w:t>Счётчик калорий</w:t>
      </w:r>
    </w:p>
    <w:p>
      <w:pPr>
        <w:pStyle w:val="Heading1"/>
      </w:pPr>
      <w:r>
        <w:t>1 Модель предметной области</w:t>
      </w:r>
    </w:p>
    <w:p>
      <w:r>
        <w:t>Модель предметной области системы «Счётчик калорий» описывает учёт порций однородной каши домашнего приготовления. Пользователь выбирает продукты из заранее заполненного каталога и вручную вводит массы. В учебном примере пользователь ввёл 40 г хлопьев, 200 г молока, готовую массу партии 220 г и массу порции 110 г. Готовая масса является отдельным измеренным значением, а не результатом сложения масс ингредиентов.</w:t>
      </w:r>
    </w:p>
    <w:p>
      <w:r>
        <w:t>Выделены шесть сущностей: «Пользователь», «Дневник питания», «Порция», «Приготовленная партия», «Ингредиент» и «Продукт». Продукт содержит наименование, калорийность на 100 г, источник и качество данных. Ингредиент задаёт массу продукта в конкретной партии. Порция хранит массу, рассчитанные калории, дату и время учёта. Приготовленная партия содержит название, готовую массу и вычисляемые общие калории.</w:t>
      </w:r>
    </w:p>
    <w:p>
      <w:r>
        <w:t>Пользователь связан с одним дневником и может создавать произвольное число партий. У каждой партии один создатель. Партия включает не менее одного ингредиента; эта связь является композицией. Каждый ингредиент относится к одному продукту, который может использоваться в разных ингредиентах. Каждая порция относится к одной партии, а партия может иметь несколько порций.</w:t>
      </w:r>
    </w:p>
    <w:p>
      <w:r>
        <w:t>Дневник связан с произвольным числом порций обычной ассоциацией. У порции может отсутствовать связь с дневником: так представляется предпросмотр до подтверждения. После подтверждения порция включается не более чем в один дневник. Общие калории партии вычисляются по массам ингредиентов и калорийности продуктов в момент создания партии и далее хранятся как снимок. Последующее обновление каталога не меняет сохранённые калории партии и подтверждённой порции.</w:t>
      </w:r>
    </w:p>
    <w:p>
      <w:r>
        <w:t>Предполагается, что все ингредиенты, вносящие калории, сохраняются в однородной смеси, а изменение массы связано только с водой. Модель отражает предметные понятия без операций и технических элементов интерфейса. Сущности, их атрибуты, виды связей и кратности представлены на рисунке 1.</w:t>
      </w:r>
    </w:p>
    <w:p>
      <w:pPr>
        <w:sectPr>
          <w:footerReference w:type="default" r:id="rId9"/>
          <w:pgSz w:w="11906" w:h="16838"/>
          <w:pgMar w:top="1134" w:right="850" w:bottom="1134" w:left="1701" w:header="454" w:footer="567" w:gutter="0"/>
          <w:cols w:space="720"/>
          <w:docGrid w:linePitch="360"/>
        </w:sectPr>
      </w:pP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72000" cy="5328000"/>
            <wp:docPr id="1" name="Picture 1" descr="Модель предметной области счётчика калори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53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 – Модель предметной области счётчика калорий</w:t>
      </w:r>
    </w:p>
    <w:p>
      <w:pPr>
        <w:sectPr>
          <w:pgSz w:w="16838" w:h="11906" w:orient="landscape"/>
          <w:pgMar w:top="1134" w:right="850" w:bottom="1134" w:left="1701" w:header="454" w:footer="567" w:gutter="0"/>
          <w:cols w:space="720"/>
          <w:docGrid w:linePitch="360"/>
        </w:sectPr>
      </w:pPr>
    </w:p>
    <w:p>
      <w:pPr>
        <w:pStyle w:val="Heading1"/>
      </w:pPr>
      <w:r>
        <w:t>2 Диаграмма коммуникаций</w:t>
      </w:r>
    </w:p>
    <w:p>
      <w:r>
        <w:t>Диаграмма коммуникаций описывает сценарий «Создание новой приготовленной партии и запись её первой порции в дневник». Пользователь передаёт состав и массы через экран ввода порции сообщением 1, запускает расчёт сообщением 2, а экран передаёт обработчику запрос на предпросмотр сообщением 2.1. Остальные участники — каталог продуктов, калькулятор калорий и дневник питания. Приготовленная партия не выделена отдельным участником: её состав и массы передаются в сообщениях как параметры, а общие калории партии вычисляет калькулятор. Объект партии показан на диаграмме анализа.</w:t>
      </w:r>
    </w:p>
    <w:p>
      <w:r>
        <w:t>Сообщение 2.1.1 выполняется в цикле: обработчик получает калорийность каждого ингредиента из каталога. Перед вычислением проверяется допустимость данных. Массы должны быть положительными, масса порции не должна превышать готовую массу партии, а калорийность каждого продукта должна быть известна. При допустимых данных сообщение 2.1.2 передаёт расчёт калькулятору.</w:t>
      </w:r>
    </w:p>
    <w:p>
      <w:r>
        <w:t>Калькулятор суммирует произведения массы каждого ингредиента и его калорийности на 100 г, делённые на 100. Калории порции равны общим калориям партии, умноженным на отношение массы порции к готовой массе. В учебном примере масса порции составляет половину готовой массы партии. Промежуточные значения не округляются.</w:t>
      </w:r>
    </w:p>
    <w:p>
      <w:r>
        <w:t>При успехе сообщение 2.1.3 показывает предпросмотр, при ошибке сообщение 2.1.4 показывает её описание. Подтверждение передаётся сообщениями 3 и 3.1. Сообщение 3.1.1 добавляет порцию в дневник только при подтверждённом актуальном предпросмотре; сообщение 3.1.2 показывает сохранённый результат. Изменение ввода требует повторного расчёта. До подтверждения порция в дневник не включается.</w:t>
      </w:r>
    </w:p>
    <w:p>
      <w:r>
        <w:t>Следующие порции используют уже созданную партию: её не создают повторно и состав заново не вводят. Для расчёта читаются готовая масса и общие калории этой партии. Диаграмма содержит пять различных связей, цикл и условия; названия сообщений обозначают аналитические действия. Взаимодействия при создании партии, предпросмотре и сохранении первой порции показаны на рисунке 2.</w:t>
      </w:r>
    </w:p>
    <w:p>
      <w:pPr>
        <w:sectPr>
          <w:pgSz w:w="11906" w:h="16838"/>
          <w:pgMar w:top="1134" w:right="850" w:bottom="1134" w:left="1701" w:header="454" w:footer="567" w:gutter="0"/>
          <w:cols w:space="720"/>
          <w:docGrid w:linePitch="360"/>
        </w:sectPr>
      </w:pP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72000" cy="5328000"/>
            <wp:docPr id="2" name="Picture 2" descr="Диаграмма коммуникаций при создании партии и записи первой порции каш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unic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53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 – Диаграмма коммуникаций при создании партии и записи первой порции каши</w:t>
      </w:r>
    </w:p>
    <w:p>
      <w:pPr>
        <w:sectPr>
          <w:pgSz w:w="16838" w:h="11906" w:orient="landscape"/>
          <w:pgMar w:top="1134" w:right="850" w:bottom="1134" w:left="1701" w:header="454" w:footer="567" w:gutter="0"/>
          <w:cols w:space="720"/>
          <w:docGrid w:linePitch="360"/>
        </w:sectPr>
      </w:pPr>
    </w:p>
    <w:p>
      <w:pPr>
        <w:pStyle w:val="Heading1"/>
      </w:pPr>
      <w:r>
        <w:t>3 Диаграмма анализа</w:t>
      </w:r>
    </w:p>
    <w:p>
      <w:r>
        <w:t>Диаграмма анализа рассматривает сценарий «Создание новой приготовленной партии и запись её первой порции в дневник» через роли участников. Актёр «Пользователь» действует вне системы. Граничный объект «Экран ввода порции» принимает данные и показывает предпросмотр, ошибки и результат сохранения. Управляющий объект «Учёт порции» организует сценарий; на диаграмме коммуникаций ему соответствует обработчик учёта порции. Объекты сущностей «Продукт», «Приготовленная партия», «Порция» и «Дневник питания» представляют предметные данные.</w:t>
      </w:r>
    </w:p>
    <w:p>
      <w:r>
        <w:t>Пользователь взаимодействует только с экраном. Экран передаёт запросы управляющему объекту и получает от него результаты. Управляющий объект читает калорийность продуктов, формирует новую партию по введённому составу и организует расчёт первой порции. Сущности хранят данные и не управляют пользовательским интерфейсом. На этом уровне расчёт входит в ответственность управляющего объекта; отдельный калькулятор показан на диаграмме коммуникаций.</w:t>
      </w:r>
    </w:p>
    <w:p>
      <w:r>
        <w:t>Для определения калорий порции используются готовая масса и общие калории приготовленной партии. Последующие порции относятся к той же уже созданной партии, поэтому её создание и ввод ингредиентов не повторяются. Чтение параметров партии остаётся необходимым для каждого нового расчёта. На диаграмме показан первый прогон; повторное использование партии поясняет границы выбранного сценария.</w:t>
      </w:r>
    </w:p>
    <w:p>
      <w:r>
        <w:t>После просмотра результата пользователь подтверждает порцию через экран. Управляющий объект проверяет актуальность предпросмотра и сообщением 9 добавляет подтверждённую порцию в дневник. Диаграмма показывает основной успешный поток: при недопустимых данных предпросмотр не формируется, а экран показывает описание ошибки, как сообщение 2.1.4 на диаграмме коммуникаций. После изменения ввода требуется новый корректный предпросмотр. Результат сохранения возвращается через экран. До подтверждения сформированные партия и порция относятся только к предпросмотру; в дневник порция включается после подтверждения.</w:t>
      </w:r>
    </w:p>
    <w:p>
      <w:r>
        <w:t>Диаграмма объясняет распределение ответственности между пользовательским интерфейсом, управлением сценарием и данными. Названия участников являются аналитическими обозначениями, а устройство хранилища здесь не раскрывается. Роли участников и взаимодействия при создании новой партии, расчёте и подтверждении её первой порции представлены на рисунке 3.</w:t>
      </w:r>
    </w:p>
    <w:p>
      <w:pPr>
        <w:sectPr>
          <w:pgSz w:w="11906" w:h="16838"/>
          <w:pgMar w:top="1134" w:right="850" w:bottom="1134" w:left="1701" w:header="454" w:footer="567" w:gutter="0"/>
          <w:cols w:space="720"/>
          <w:docGrid w:linePitch="360"/>
        </w:sectPr>
      </w:pP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72000" cy="5328000"/>
            <wp:docPr id="3" name="Picture 3" descr="Диаграмма анализа при создании партии и записи первой порции каш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53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 – Диаграмма анализа при создании партии и записи первой порции каши</w:t>
      </w:r>
    </w:p>
    <w:sectPr w:rsidR="00FC693F" w:rsidRPr="0006063C" w:rsidSect="00034616">
      <w:pgSz w:w="16838" w:h="11906" w:orient="landscape"/>
      <w:pgMar w:top="1134" w:right="850" w:bottom="1134" w:left="1701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after="0"/>
      <w:ind w:firstLine="0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4"/>
      <w:lang w:val="ru-RU"/>
      <w:szCs w:val="24"/>
      <w:bCs w:val="0"/>
      <w:i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60" w:lineRule="auto"/>
      <w:ind w:firstLine="709"/>
      <w:jc w:val="left"/>
      <w:outlineLvl w:val="0"/>
    </w:pPr>
    <w:rPr>
      <w:rFonts w:ascii="Times New Roman" w:hAnsi="Times New Roman" w:eastAsia="Times New Roman" w:cs="Times New Roman"/>
      <w:b/>
      <w:bCs w:val="1"/>
      <w:i w:val="0"/>
      <w:color w:val="000000"/>
      <w:sz w:val="28"/>
      <w:szCs w:val="28"/>
      <w:lang w:val="ru-RU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360" w:lineRule="auto" w:before="0"/>
      <w:ind w:firstLine="0"/>
      <w:contextualSpacing/>
      <w:jc w:val="center"/>
    </w:pPr>
    <w:rPr>
      <w:rFonts w:ascii="Times New Roman" w:hAnsi="Times New Roman" w:eastAsia="Times New Roman" w:cs="Times New Roman"/>
      <w:b/>
      <w:i w:val="0"/>
      <w:color w:val="000000"/>
      <w:sz w:val="28"/>
      <w:szCs w:val="28"/>
      <w:lang w:val="ru-RU"/>
      <w:bCs w:val="1"/>
      <w:i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 w:line="360" w:lineRule="auto"/>
      <w:ind w:firstLine="0"/>
      <w:jc w:val="center"/>
    </w:pPr>
    <w:rPr>
      <w:rFonts w:ascii="Times New Roman" w:hAnsi="Times New Roman" w:eastAsia="Times New Roman" w:cs="Times New Roman"/>
      <w:b w:val="0"/>
      <w:i w:val="0"/>
      <w:iCs w:val="0"/>
      <w:color w:val="000000"/>
      <w:sz w:val="28"/>
      <w:szCs w:val="28"/>
      <w:lang w:val="ru-RU"/>
      <w:b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120" w:after="0"/>
      <w:ind w:firstLine="0"/>
      <w:jc w:val="center"/>
    </w:pPr>
    <w:rPr>
      <w:rFonts w:ascii="Times New Roman" w:hAnsi="Times New Roman" w:eastAsia="Times New Roman" w:cs="Times New Roman"/>
      <w:b w:val="0"/>
      <w:bCs w:val="0"/>
      <w:i w:val="0"/>
      <w:color w:val="000000"/>
      <w:sz w:val="24"/>
      <w:szCs w:val="24"/>
      <w:lang w:val="ru-RU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1. Счётчик калорий</dc:title>
  <dc:subject>Объектно-ориентированный анализ и проектирование</dc:subject>
  <dc:creator/>
  <cp:keywords>модель предметной области, коммуникации, анализ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