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1</w:t>
      </w:r>
    </w:p>
    <w:p>
      <w:pPr>
        <w:pStyle w:val="Subtitle"/>
      </w:pPr>
      <w:r>
        <w:t>Счётчик калорий</w:t>
      </w:r>
    </w:p>
    <w:p>
      <w:pPr>
        <w:pStyle w:val="Heading1"/>
      </w:pPr>
      <w:r>
        <w:t>1 Модель предметной области</w:t>
      </w:r>
    </w:p>
    <w:p>
      <w:r>
        <w:t>Модель предметной области системы «Счётчик калорий» описывает учёт порции однородной каши домашнего приготовления. Пользователь выбирает продукты из заранее заполненного каталога, указывает массы ингредиентов, готовой партии и съедаемой порции. В учебном примере пользователь указал 40 г хлопьев, 200 г молока, готовую массу 220 г и массу порции 110 г. Калорийность продуктов определяется по сохранённым сведениям с указанием источника и качества данных.</w:t>
      </w:r>
    </w:p>
    <w:p>
      <w:r>
        <w:t>Выделены восемь сущностей: «Пользователь», «Дневник питания», «Запись дневника», «Порция», «Приготовленная партия», «Ингредиент», «Продукт» и «Сведения о калорийности». Ингредиент задаёт массу продукта в конкретной партии. Порция относится к одной партии и содержит собственную массу и рассчитанные калории. Калории партии являются вычисляемым атрибутом. Пользователь связан с одним дневником, который содержит произвольное число записей.</w:t>
      </w:r>
    </w:p>
    <w:p>
      <w:r>
        <w:t>Композиция связывает дневник с его записями и приготовленную партию с её ингредиентами. Каждая партия содержит не менее одного ингредиента. Один продукт может использоваться в разных ингредиентах и связан с одной записью сведений о калорийности. Партии могут соответствовать несколько порций. Каждая запись дневника относится ровно к одной порции, а порция до подтверждения существует без записи и после подтверждения получает не более одной записи.</w:t>
      </w:r>
    </w:p>
    <w:p>
      <w:r>
        <w:t>Предполагается, что все энергетические ингредиенты сохраняются в смеси, а изменение массы при приготовлении связано только с водой. Калории подтверждённой порции сохраняются как результат расчёта и не меняются при последующем обновлении каталога. Модель отражает предметные понятия; операции и технические элементы интерфейса в неё не включены. Состав сущностей, их атрибуты и кратности связей представлены на рисунке 1.</w:t>
      </w:r>
    </w:p>
    <w:p>
      <w:pPr>
        <w:sectPr>
          <w:footerReference w:type="default" r:id="rId9"/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328000"/>
            <wp:docPr id="1" name="Picture 1" descr="Модель предметной области счётчика калори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3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– Модель предметной области счётчика калорий</w:t>
      </w:r>
    </w:p>
    <w:p>
      <w:pPr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pStyle w:val="Heading1"/>
      </w:pPr>
      <w:r>
        <w:t>2 Диаграмма коммуникаций</w:t>
      </w:r>
    </w:p>
    <w:p>
      <w:r>
        <w:t>Диаграмма коммуникаций раскрывает порядок взаимодействия участников при расчёте и сохранении порции. Пользователь вводит состав и массы через экран ввода порции: сообщение 1 передаёт исходные данные, сообщение 2 запускает расчёт, а сообщение 2.1 передаёт обработчику запрос на подготовку предпросмотра. Участниками также являются каталог продуктов, калькулятор калорий и дневник питания.</w:t>
      </w:r>
    </w:p>
    <w:p>
      <w:r>
        <w:t>Сообщение 2.1.1 выполняется в цикле: обработчик получает сведения о калорийности каждого ингредиента. Перед вычислением проверяется допустимость данных. Все массы должны быть положительными, масса порции не должна превышать готовую массу партии, а для каждого продукта должна быть известна калорийность. При выполнении этих условий сообщение 2.1.2 передаёт данные калькулятору.</w:t>
      </w:r>
    </w:p>
    <w:p>
      <w:r>
        <w:t>Калькулятор суммирует произведения массы каждого ингредиента и его калорийности на 100 г, делённые на 100. Калории порции определяются умножением калорий партии на отношение массы порции к готовой массе. В приведённом примере масса порции составляет половину готовой массы партии, поэтому порция содержит половину её калорий. Промежуточные значения не округляются. Конкретные значения калорийности продуктов в примере не подставляются без источника.</w:t>
      </w:r>
    </w:p>
    <w:p>
      <w:r>
        <w:t>Условие [успех] означает успешное завершение расчёта, а [ошибка] — недопустимые исходные данные или сбой расчёта. При успехе сообщение 2.1.3 показывает предпросмотр; при ошибке сообщение 2.1.4 показывает причину отказа. Подтверждение пользователя передаётся сообщениями 3 и 3.1. Только при актуальном предпросмотре сообщение 3.1.1 сохраняет порцию в дневнике, после чего сообщение 3.1.2 показывает сохранённый результат. Изменение исходных данных требует повторного расчёта. До подтверждения запись дневника не создаётся.</w:t>
      </w:r>
    </w:p>
    <w:p>
      <w:r>
        <w:t>Диаграмма содержит пять различных связей между участниками, цикл получения данных и условные сообщения. Обозначения сообщений описывают аналитические действия и не являются утверждением о наличии одноимённых методов в программном коде. Порядок взаимодействий и условия перехода от предпросмотра к сохранению показаны на рисунке 2.</w:t>
      </w:r>
    </w:p>
    <w:p>
      <w:pPr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328000"/>
            <wp:docPr id="2" name="Picture 2" descr="Диаграмма коммуникаций при записи порции каш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un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3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– Диаграмма коммуникаций при записи порции каши</w:t>
      </w:r>
    </w:p>
    <w:p>
      <w:pPr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pStyle w:val="Heading1"/>
      </w:pPr>
      <w:r>
        <w:t>3 Диаграмма анализа</w:t>
      </w:r>
    </w:p>
    <w:p>
      <w:r>
        <w:t>Диаграмма анализа представляет тот же сценарий через роли участников. Актёр «Пользователь» действует вне системы. Граничный объект «Экран ввода порции» принимает ввод, показывает предпросмотр, ошибки и результат сохранения. Управляющий объект «Учёт порции» организует выполнение сценария. Объекты сущностей «Сведения о калорийности», «Приготовленная партия», «Порция» и «Дневник питания» представляют используемые предметные данные.</w:t>
      </w:r>
    </w:p>
    <w:p>
      <w:r>
        <w:t>Пользователь взаимодействует только с экраном. Экран передаёт действия управляющему объекту и получает от него результаты. Управляющий объект обращается к сведениям о калорийности, формирует данные партии и порции, организует расчёт и передаёт экрану предпросмотр. Сущности хранят данные и не управляют взаимодействием пользователя с интерфейсом. Расчёт калорий входит в ответственность управляющего объекта на этом уровне рассмотрения; отдельный участник вычисления раскрыт на диаграмме коммуникаций.</w:t>
      </w:r>
    </w:p>
    <w:p>
      <w:r>
        <w:t>Ввод данных и подтверждение разделены. После просмотра результата пользователь подтверждает порцию через тот же граничный объект. Управляющий объект проверяет актуальность предпросмотра и только затем добавляет запись в дневник. Если ввод изменён или содержит ошибку, сначала требуется подготовить новый корректный предпросмотр. Таким образом, получение расчёта само по себе не означает сохранения записи.</w:t>
      </w:r>
    </w:p>
    <w:p>
      <w:r>
        <w:t>Диаграмма показывает распределение ответственности в пользовательском сценарии. Она не задаёт устройство хранилища и реализацию экрана, а названия её объектов являются аналитическими обозначениями. Разделение актёра, граничного объекта, управляющего объекта и сущностей, а также взаимодействия при расчёте и подтверждении порции представлены на рисунке 3.</w:t>
      </w:r>
    </w:p>
    <w:p>
      <w:pPr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328000"/>
            <wp:docPr id="3" name="Picture 3" descr="Диаграмма анализа при записи порции каш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3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– Диаграмма анализа при записи порции каши</w:t>
      </w:r>
    </w:p>
    <w:sectPr w:rsidR="00FC693F" w:rsidRPr="0006063C" w:rsidSect="00034616">
      <w:pgSz w:w="16838" w:h="11906" w:orient="landscape"/>
      <w:pgMar w:top="1134" w:right="850" w:bottom="1134" w:left="1701" w:header="45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after="0"/>
      <w:ind w:firstLine="0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/>
      <w:szCs w:val="24"/>
      <w:bCs w:val="0"/>
      <w:i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 w:val="1"/>
      <w:i w:val="0"/>
      <w:color w:val="000000"/>
      <w:sz w:val="28"/>
      <w:szCs w:val="28"/>
      <w:lang w:val="ru-RU"/>
      <w:iCs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z w:val="28"/>
      <w:szCs w:val="28"/>
      <w:lang w:val="ru-RU"/>
      <w:bCs w:val="1"/>
      <w:i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iCs w:val="0"/>
      <w:color w:val="000000"/>
      <w:sz w:val="28"/>
      <w:szCs w:val="28"/>
      <w:lang w:val="ru-RU"/>
      <w:b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120" w:after="0"/>
      <w:ind w:firstLine="0"/>
      <w:jc w:val="center"/>
    </w:pPr>
    <w:rPr>
      <w:rFonts w:ascii="Times New Roman" w:hAnsi="Times New Roman" w:eastAsia="Times New Roman" w:cs="Times New Roman"/>
      <w:b w:val="0"/>
      <w:bCs w:val="0"/>
      <w:i w:val="0"/>
      <w:color w:val="000000"/>
      <w:sz w:val="24"/>
      <w:szCs w:val="24"/>
      <w:lang w:val="ru-RU"/>
      <w:iCs w:val="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1. Счётчик калорий</dc:title>
  <dc:subject>Объектно-ориентированный анализ и проектирование</dc:subject>
  <dc:creator/>
  <cp:keywords>модель предметной области, коммуникации, анализ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