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52CF3CA8"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proofErr w:type="gramStart"/>
      <w:r w:rsidRPr="00D815EA">
        <w:rPr>
          <w:b/>
        </w:rPr>
        <w:t>n</w:t>
      </w:r>
      <w:proofErr w:type="gramEnd"/>
      <w:r w:rsidRPr="00D815EA">
        <w:rPr>
          <w:b/>
        </w:rPr>
        <w:t xml:space="preserve">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7579C98E" w14:textId="77777777" w:rsidR="000C7E3D" w:rsidRDefault="000C7E3D" w:rsidP="000C7E3D">
      <w:proofErr w:type="spellStart"/>
      <w:r>
        <w:t>Concat</w:t>
      </w:r>
      <w:proofErr w:type="spellEnd"/>
      <w:r>
        <w:t xml:space="preserve"> all characters in a string and print it. You can use </w:t>
      </w:r>
      <w:r w:rsidRPr="00D776A4">
        <w:rPr>
          <w:rStyle w:val="CodeChar"/>
        </w:rPr>
        <w:t>String.format()</w:t>
      </w:r>
      <w:r>
        <w:t>.</w:t>
      </w:r>
    </w:p>
    <w:p w14:paraId="5C36400D" w14:textId="77777777" w:rsidR="000C7E3D" w:rsidRDefault="000C7E3D" w:rsidP="000C7E3D">
      <w:r>
        <w:rPr>
          <w:noProof/>
        </w:rPr>
        <w:drawing>
          <wp:inline distT="0" distB="0" distL="0" distR="0" wp14:anchorId="0A09CD4A" wp14:editId="3515509F">
            <wp:extent cx="6188075" cy="224751"/>
            <wp:effectExtent l="19050" t="19050" r="31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lastRenderedPageBreak/>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lastRenderedPageBreak/>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F83444" w14:paraId="3531066C" w14:textId="77777777" w:rsidTr="00252AFB">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481"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bookmarkStart w:id="0" w:name="_GoBack"/>
            <w:bookmarkEnd w:id="0"/>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252AFB">
        <w:trPr>
          <w:trHeight w:val="2642"/>
        </w:trPr>
        <w:tc>
          <w:tcPr>
            <w:tcW w:w="896"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481"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622"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 xml:space="preserve">Spice is Love, Spice is Life. And most importantly, Spice must flow. It must be extracted from the scorching sands of </w:t>
      </w:r>
      <w:proofErr w:type="spellStart"/>
      <w:r w:rsidRPr="00992F56">
        <w:rPr>
          <w:i/>
        </w:rPr>
        <w:t>Arrakis</w:t>
      </w:r>
      <w:proofErr w:type="spellEnd"/>
      <w:r w:rsidRPr="00992F56">
        <w:rPr>
          <w:i/>
        </w:rPr>
        <w:t>,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66267" w14:textId="77777777" w:rsidR="00A2324F" w:rsidRDefault="00A2324F" w:rsidP="008068A2">
      <w:pPr>
        <w:spacing w:after="0" w:line="240" w:lineRule="auto"/>
      </w:pPr>
      <w:r>
        <w:separator/>
      </w:r>
    </w:p>
  </w:endnote>
  <w:endnote w:type="continuationSeparator" w:id="0">
    <w:p w14:paraId="168D1D05" w14:textId="77777777" w:rsidR="00A2324F" w:rsidRDefault="00A232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12B34EAD"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52AF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52AFB">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6E50F" w14:textId="77777777" w:rsidR="00A2324F" w:rsidRDefault="00A2324F" w:rsidP="008068A2">
      <w:pPr>
        <w:spacing w:after="0" w:line="240" w:lineRule="auto"/>
      </w:pPr>
      <w:r>
        <w:separator/>
      </w:r>
    </w:p>
  </w:footnote>
  <w:footnote w:type="continuationSeparator" w:id="0">
    <w:p w14:paraId="59225CA9" w14:textId="77777777" w:rsidR="00A2324F" w:rsidRDefault="00A232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2AFB"/>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2324F"/>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38380-BEE2-4BAC-9CE1-7C4620B6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16</cp:revision>
  <cp:lastPrinted>2015-10-26T22:35:00Z</cp:lastPrinted>
  <dcterms:created xsi:type="dcterms:W3CDTF">2018-07-02T08:04:00Z</dcterms:created>
  <dcterms:modified xsi:type="dcterms:W3CDTF">2019-01-30T13:12:00Z</dcterms:modified>
  <cp:category>programming, education, software engineering, software development</cp:category>
</cp:coreProperties>
</file>