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Adaptive Confidence Engine for Energy-Efficient Multimodal Plastic Waste Sorting Using Cascaded NIR/MIR Spectral Sensing and Deep Learning</w:t>
      </w:r>
    </w:p>
    <w:p>
      <w:pPr>
        <w:jc w:val="center"/>
      </w:pPr>
      <w:r>
        <w:rPr>
          <w:rFonts w:ascii="Times New Roman" w:hAnsi="Times New Roman"/>
          <w:sz w:val="24"/>
        </w:rPr>
        <w:t>Author A, Author B, Author C, Author D</w:t>
        <w:br/>
        <w:t>Department of Computer Science and Engineering</w:t>
      </w:r>
    </w:p>
    <w:p>
      <w:r>
        <w:rPr>
          <w:rFonts w:ascii="Times New Roman" w:hAnsi="Times New Roman"/>
          <w:b/>
          <w:sz w:val="20"/>
        </w:rPr>
        <w:t xml:space="preserve">KEYWORDS: </w:t>
      </w:r>
      <w:r>
        <w:rPr>
          <w:rFonts w:ascii="Times New Roman" w:hAnsi="Times New Roman"/>
          <w:i/>
          <w:sz w:val="20"/>
        </w:rPr>
        <w:t>Waste Segregation, Deep Learning, Computer Vision, YOLOv11, Near-Infrared, Mid-Infrared, Adaptive Confidence Engine, XGBoost, Sensor Fusion, Real-time Processing</w:t>
      </w:r>
    </w:p>
    <w:p>
      <w:pPr>
        <w:jc w:val="center"/>
      </w:pPr>
      <w:r>
        <w:rPr>
          <w:rFonts w:ascii="Times New Roman" w:hAnsi="Times New Roman"/>
          <w:b/>
          <w:sz w:val="24"/>
        </w:rPr>
        <w:t>I. INTRODUCTION</w:t>
      </w:r>
    </w:p>
    <w:p>
      <w:pPr>
        <w:jc w:val="both"/>
      </w:pPr>
      <w:r>
        <w:rPr>
          <w:rFonts w:ascii="Times New Roman" w:hAnsi="Times New Roman"/>
          <w:i w:val="0"/>
          <w:sz w:val="20"/>
        </w:rPr>
        <w:t>The global waste problem is escalating at an unprecedented rate, with projections indicating a generation of 3.40 billion tonnes by 2050 [34]. Alarmingly, 8 million tonnes of plastic enter the oceans annually, highlighting the critical relevance of Sustainable Development Goals (SDG) 12 and 14 [39][40]. Manual sorting is fraught with limitations, being labor-intensive, hazardous, and error-prone. However, the deep learning revolution, spearheaded by CNNs [35][36] and YOLO architectures [37][38], has enabled automated visual sorting. While NIR spectroscopy is a staple for polymer identification [10][19][20], it inherently fails on carbon-black plastics [10][11]. Conversely, MIR/FTIR successfully identifies black plastics [12][22][23][24], yet its application is hindered by high costs and slow processing speeds. A significant gap exists as all prior systems rely on FIXED confidence thresholds for sensor escalation. Our work bridges this gap through five key contributions: 1) The Adaptive Confidence Engine (ACE) utilizing a 17-dimensional context vector. 2) An Expected Failure Predictor (EFP) designed for proactive carbon-black bypass. 3) A dual-stage YOLOv11 vision pipeline. 4) A closed-loop feedback database to facilitate continuous learning. 5) A comprehensive evaluation demonstrating 45.6% energy savings and a 4.5% throughput gain.</w:t>
      </w:r>
    </w:p>
    <w:p>
      <w:pPr>
        <w:jc w:val="center"/>
      </w:pPr>
      <w:r>
        <w:rPr>
          <w:rFonts w:ascii="Times New Roman" w:hAnsi="Times New Roman"/>
          <w:b/>
          <w:sz w:val="24"/>
        </w:rPr>
        <w:t>II. RELATED WORK</w:t>
      </w:r>
    </w:p>
    <w:p>
      <w:r>
        <w:rPr>
          <w:rFonts w:ascii="Times New Roman" w:hAnsi="Times New Roman"/>
          <w:b/>
          <w:i/>
          <w:sz w:val="22"/>
        </w:rPr>
        <w:t>A. Computer Vision for Waste Sorting</w:t>
      </w:r>
    </w:p>
    <w:p>
      <w:pPr>
        <w:jc w:val="both"/>
      </w:pPr>
      <w:r>
        <w:rPr>
          <w:rFonts w:ascii="Times New Roman" w:hAnsi="Times New Roman"/>
          <w:i w:val="0"/>
          <w:sz w:val="20"/>
        </w:rPr>
        <w:t>Computer vision approaches have evolved significantly, beginning with fundamental studies by Thung &amp; Yang [1] and the introduction of the TrashNet dataset [3]. Subsequent advancements include Olugboja's deep learning approach [4], the comprehensive critical review by Lu &amp; Chen [5], and modern large-scale datasets such as ZeroWaste [16], TACO [17], Waste Detection in Pomerania [18], and Krizhevsky's RealWaste [15].</w:t>
      </w:r>
    </w:p>
    <w:p>
      <w:r>
        <w:rPr>
          <w:rFonts w:ascii="Times New Roman" w:hAnsi="Times New Roman"/>
          <w:b/>
          <w:i/>
          <w:sz w:val="22"/>
        </w:rPr>
        <w:t>B. NIR Spectroscopy</w:t>
      </w:r>
    </w:p>
    <w:p>
      <w:pPr>
        <w:jc w:val="both"/>
      </w:pPr>
      <w:r>
        <w:rPr>
          <w:rFonts w:ascii="Times New Roman" w:hAnsi="Times New Roman"/>
          <w:i w:val="0"/>
          <w:sz w:val="20"/>
        </w:rPr>
        <w:t>NIR spectroscopy is extensively documented for polymer identification, with notable contributions from Signoroni [19] and Henriksen [20]. Research by Küppers [27] also highlights the significant influence of surface contamination on NIR-based plastic identification.</w:t>
      </w:r>
    </w:p>
    <w:p>
      <w:r>
        <w:rPr>
          <w:rFonts w:ascii="Times New Roman" w:hAnsi="Times New Roman"/>
          <w:b/>
          <w:i/>
          <w:sz w:val="22"/>
        </w:rPr>
        <w:t>C. Black Plastic Problem</w:t>
      </w:r>
    </w:p>
    <w:p>
      <w:pPr>
        <w:jc w:val="both"/>
      </w:pPr>
      <w:r>
        <w:rPr>
          <w:rFonts w:ascii="Times New Roman" w:hAnsi="Times New Roman"/>
          <w:i w:val="0"/>
          <w:sz w:val="20"/>
        </w:rPr>
        <w:t>The challenge of sorting black plastics is well-established by Feldhoff [10] and Serranti [11]. Various spectroscopic alternatives have been explored, including MWIR by Koinig [22], multisensor fusion by Friedl [23], Raman spectroscopy by Brunner [24], and comprehensive HSI reviews by Bonifazi [25].</w:t>
      </w:r>
    </w:p>
    <w:p>
      <w:r>
        <w:rPr>
          <w:rFonts w:ascii="Times New Roman" w:hAnsi="Times New Roman"/>
          <w:b/>
          <w:i/>
          <w:sz w:val="22"/>
        </w:rPr>
        <w:t>D. Multimodal Sensor Fusion</w:t>
      </w:r>
    </w:p>
    <w:p>
      <w:pPr>
        <w:jc w:val="both"/>
      </w:pPr>
      <w:r>
        <w:rPr>
          <w:rFonts w:ascii="Times New Roman" w:hAnsi="Times New Roman"/>
          <w:i w:val="0"/>
          <w:sz w:val="20"/>
        </w:rPr>
        <w:t>Multimodal sensor fusion offers enhanced sorting accuracy. Key frameworks include Gruber's sensor fusion [29], Edmunds' combination of RGB, Thermal, and NIR [31], and Hollstein's integration of NIR and high-speed imaging [32]. Recent advances leverage Cross-Modal Swin Transformers [30] and attention-guided multimodal deep learning [33].</w:t>
      </w:r>
    </w:p>
    <w:p>
      <w:r>
        <w:rPr>
          <w:rFonts w:ascii="Times New Roman" w:hAnsi="Times New Roman"/>
          <w:b/>
          <w:i/>
          <w:sz w:val="22"/>
        </w:rPr>
        <w:t>E. Industrial Robotic Sorting</w:t>
      </w:r>
    </w:p>
    <w:p>
      <w:pPr>
        <w:jc w:val="both"/>
      </w:pPr>
      <w:r>
        <w:rPr>
          <w:rFonts w:ascii="Times New Roman" w:hAnsi="Times New Roman"/>
          <w:i w:val="0"/>
          <w:sz w:val="20"/>
        </w:rPr>
        <w:t>The translation of these technologies to industrial applications involves robotic sorting, exemplified by ZenRobotics [41], the digitalization frameworks proposed by Sarc [42], and the automated sorting review by Gundupalli [44].</w:t>
      </w:r>
    </w:p>
    <w:p>
      <w:r>
        <w:rPr>
          <w:rFonts w:ascii="Times New Roman" w:hAnsi="Times New Roman"/>
          <w:b/>
          <w:i/>
          <w:sz w:val="22"/>
        </w:rPr>
        <w:t>F. Gap in Existing Literature</w:t>
      </w:r>
    </w:p>
    <w:p>
      <w:pPr>
        <w:jc w:val="both"/>
      </w:pPr>
      <w:r>
        <w:rPr>
          <w:rFonts w:ascii="Times New Roman" w:hAnsi="Times New Roman"/>
          <w:i w:val="0"/>
          <w:sz w:val="20"/>
        </w:rPr>
        <w:t>Despite these advancements, no existing system combines computer vision, dual spectral sensing, an adaptive ML-driven threshold, and proactive failure prediction in a unified pipeline.</w:t>
      </w:r>
    </w:p>
    <w:p>
      <w:pPr>
        <w:jc w:val="center"/>
      </w:pPr>
      <w:r>
        <w:rPr>
          <w:rFonts w:ascii="Times New Roman" w:hAnsi="Times New Roman"/>
          <w:b/>
          <w:sz w:val="24"/>
        </w:rPr>
        <w:t>III. SYSTEM ARCHITECTURE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hatGPT Image Aug 7, 2026, 01_35_49 PM.pn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Times New Roman" w:hAnsi="Times New Roman"/>
          <w:sz w:val="20"/>
        </w:rPr>
        <w:t>Fig. 1. System architecture of the proposed multimodal waste sorting system.</w:t>
      </w:r>
    </w:p>
    <w:p>
      <w:pPr>
        <w:jc w:val="both"/>
      </w:pPr>
      <w:r>
        <w:rPr>
          <w:rFonts w:ascii="Times New Roman" w:hAnsi="Times New Roman"/>
          <w:i w:val="0"/>
          <w:sz w:val="20"/>
        </w:rPr>
        <w:t>A. Stage 1: Vision Detection employs a YOLOv11s model trained on 6 macro-classes, achieving an mAP@50 of 53.17%. B. Stage 2: The Expected Failure Predictor uses a Random Forest trained on 5 vision-only features to route items directly to MIR if the failure probability exceeds 0.60. C. Stage 3: NIR Spectral Sensing utilizes a 232-band sensor classified via an SVM (RBF kernel, C=10, gamma=scale) with 97.12% accuracy. An early-exit condition triggers if reflectance is &lt;0.08. D. Stage 4: The Adaptive Confidence Engine leverages XGBoost on a 17-dimensional context vector to calculate an adaptive threshold: T = 0.70 + 0.25 × P(MIR_needed). E. Stage 5: MIR/FTIR Fallback acts as the final classification layer, using 3736 spectral points and a Random Forest (200 trees) to achieve 100% lab accuracy. F. The Feedback Database relies on SQLite for closed-loop continuous learning. G. A Real-Time UI and Bin Routing module uses OpenCV overlays, operating at 39.1 ms latency (~25 FPS).</w:t>
      </w:r>
    </w:p>
    <w:p>
      <w:pPr>
        <w:jc w:val="center"/>
      </w:pPr>
      <w:r>
        <w:rPr>
          <w:rFonts w:ascii="Times New Roman" w:hAnsi="Times New Roman"/>
          <w:b/>
          <w:sz w:val="24"/>
        </w:rPr>
        <w:t>IV. HARDWARE CONFIGURATION AND SOFTWARE STACK</w:t>
      </w:r>
    </w:p>
    <w:p>
      <w:pPr>
        <w:jc w:val="both"/>
      </w:pPr>
      <w:r>
        <w:rPr>
          <w:rFonts w:ascii="Times New Roman" w:hAnsi="Times New Roman"/>
          <w:i w:val="0"/>
          <w:sz w:val="20"/>
        </w:rPr>
        <w:t>The system is developed and trained on an NVIDIA RTX 4050 (6GB VRAM) with CUDA 12.6, targeting deployment on an NVIDIA Jetson AGX Orin. The software stack comprises Python 3.14, PyTorch 2.x, Ultralytics, scikit-learn, XGBoost, OpenCV, scipy, and joblib.</w:t>
      </w:r>
    </w:p>
    <w:p>
      <w:pPr>
        <w:jc w:val="center"/>
      </w:pPr>
      <w:r>
        <w:rPr>
          <w:rFonts w:ascii="Times New Roman" w:hAnsi="Times New Roman"/>
          <w:b/>
          <w:sz w:val="24"/>
        </w:rPr>
        <w:t>V. DATASETS AND PREPROCESSING</w:t>
      </w:r>
    </w:p>
    <w:p>
      <w:pPr>
        <w:jc w:val="both"/>
      </w:pPr>
      <w:r>
        <w:rPr>
          <w:rFonts w:ascii="Times New Roman" w:hAnsi="Times New Roman"/>
          <w:i w:val="0"/>
          <w:sz w:val="20"/>
        </w:rPr>
        <w:t>A. Visual Classification Datasets: Comprises over 10,000 detection and 12,259 classification images, resized to 384x384. B. NIR HSI Preprocessing: Consists of 1,220 subimages from a Specim FX10 camera (64x64x232), spanning 7 classes, normalized using z-score. C. MIR FTIR Preprocessing: Incorporates 2,649 spectra with 3736 wavenumbers, preprocessed via Savitzky-Golay filtering, SNV, and StandardScaler. D. ACE Synthetic Data: Contains 10,000 samples incorporating 15% carbon-black, environmental noise, and 30% edge cases.</w:t>
      </w:r>
    </w:p>
    <w:p>
      <w:pPr>
        <w:jc w:val="center"/>
      </w:pPr>
      <w:r>
        <w:rPr>
          <w:rFonts w:ascii="Times New Roman" w:hAnsi="Times New Roman"/>
          <w:b/>
          <w:sz w:val="24"/>
        </w:rPr>
        <w:t>VI. MACHINE LEARNING MODEL SPECIFICATIONS</w:t>
      </w:r>
    </w:p>
    <w:p>
      <w:pPr>
        <w:jc w:val="both"/>
      </w:pPr>
      <w:r>
        <w:rPr>
          <w:rFonts w:ascii="Times New Roman" w:hAnsi="Times New Roman"/>
          <w:i w:val="0"/>
          <w:sz w:val="20"/>
        </w:rPr>
        <w:t>A. NIR SVM: Configured with an RBF kernel, C=10, gamma='scale', using 731 training, 246 validation, and 243 testing samples. B. MIR Random Forest: Employs 200 trees with max_depth=15 and Gini impurity, trained on 1853 samples and tested on 398. C. ACE XGBoost: Uses 200 estimators, max_depth=5, and lr=0.05 for binary classification. It relies on a full 17-feature vector to compute the threshold: T = 0.70 + 0.25 × P(MIR_needed). D. EFP Random Forest: Consists of 100 trees with max_depth=10, utilizing 5 strictly vision-only features. E. Comparative Models: Deep learning alternatives include a 1D-CNN (94.97%) and SpectralTransformer (92.71%), whereas XGBoost achieved 99.75% for MIR.</w:t>
      </w:r>
    </w:p>
    <w:p>
      <w:pPr>
        <w:jc w:val="center"/>
      </w:pPr>
      <w:r>
        <w:rPr>
          <w:rFonts w:ascii="Times New Roman" w:hAnsi="Times New Roman"/>
          <w:b/>
          <w:sz w:val="24"/>
        </w:rPr>
        <w:t>VII. EXPERIMENTAL RESULTS</w:t>
      </w:r>
    </w:p>
    <w:p>
      <w:r>
        <w:rPr>
          <w:rFonts w:ascii="Times New Roman" w:hAnsi="Times New Roman"/>
          <w:b/>
          <w:i/>
          <w:sz w:val="22"/>
        </w:rPr>
        <w:t>A. Vision Pipeline Performance</w:t>
      </w:r>
    </w:p>
    <w:p>
      <w:pPr>
        <w:jc w:val="both"/>
      </w:pPr>
      <w:r>
        <w:rPr>
          <w:rFonts w:ascii="Times New Roman" w:hAnsi="Times New Roman"/>
          <w:i w:val="0"/>
          <w:sz w:val="20"/>
        </w:rPr>
        <w:t>The YOLOv11s vision pipeline achieved a Top-1 accuracy of 95.73%, a Top-5 accuracy of 99.67%, and an mAP@50 of 53.17%.</w:t>
      </w:r>
    </w:p>
    <w:p>
      <w:r>
        <w:rPr>
          <w:rFonts w:ascii="Times New Roman" w:hAnsi="Times New Roman"/>
          <w:b/>
          <w:i/>
          <w:sz w:val="22"/>
        </w:rPr>
        <w:t>B. NIR Classifier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Model</w:t>
            </w:r>
          </w:p>
        </w:tc>
        <w:tc>
          <w:tcPr>
            <w:tcW w:type="dxa" w:w="1728"/>
          </w:tcPr>
          <w:p>
            <w:r>
              <w:rPr>
                <w:rFonts w:ascii="Times New Roman" w:hAnsi="Times New Roman"/>
                <w:b/>
                <w:sz w:val="18"/>
              </w:rPr>
              <w:t>Test Accuracy</w:t>
            </w:r>
          </w:p>
        </w:tc>
        <w:tc>
          <w:tcPr>
            <w:tcW w:type="dxa" w:w="1728"/>
          </w:tcPr>
          <w:p>
            <w:r>
              <w:rPr>
                <w:rFonts w:ascii="Times New Roman" w:hAnsi="Times New Roman"/>
                <w:b/>
                <w:sz w:val="18"/>
              </w:rPr>
              <w:t>Precision</w:t>
            </w:r>
          </w:p>
        </w:tc>
        <w:tc>
          <w:tcPr>
            <w:tcW w:type="dxa" w:w="1728"/>
          </w:tcPr>
          <w:p>
            <w:r>
              <w:rPr>
                <w:rFonts w:ascii="Times New Roman" w:hAnsi="Times New Roman"/>
                <w:b/>
                <w:sz w:val="18"/>
              </w:rPr>
              <w:t>Recall</w:t>
            </w:r>
          </w:p>
        </w:tc>
        <w:tc>
          <w:tcPr>
            <w:tcW w:type="dxa" w:w="1728"/>
          </w:tcPr>
          <w:p>
            <w:r>
              <w:rPr>
                <w:rFonts w:ascii="Times New Roman" w:hAnsi="Times New Roman"/>
                <w:b/>
                <w:sz w:val="18"/>
              </w:rPr>
              <w:t>F1</w:t>
            </w:r>
          </w:p>
        </w:tc>
      </w:tr>
      <w:tr>
        <w:tc>
          <w:tcPr>
            <w:tcW w:type="dxa" w:w="1728"/>
          </w:tcPr>
          <w:p>
            <w:r>
              <w:rPr>
                <w:rFonts w:ascii="Times New Roman" w:hAnsi="Times New Roman"/>
                <w:sz w:val="18"/>
              </w:rPr>
              <w:t>SVM</w:t>
            </w:r>
          </w:p>
        </w:tc>
        <w:tc>
          <w:tcPr>
            <w:tcW w:type="dxa" w:w="1728"/>
          </w:tcPr>
          <w:p>
            <w:r>
              <w:rPr>
                <w:rFonts w:ascii="Times New Roman" w:hAnsi="Times New Roman"/>
                <w:sz w:val="18"/>
              </w:rPr>
              <w:t>97.12%</w:t>
            </w:r>
          </w:p>
        </w:tc>
        <w:tc>
          <w:tcPr>
            <w:tcW w:type="dxa" w:w="1728"/>
          </w:tcPr>
          <w:p>
            <w:r>
              <w:rPr>
                <w:rFonts w:ascii="Times New Roman" w:hAnsi="Times New Roman"/>
                <w:sz w:val="18"/>
              </w:rPr>
              <w:t>97.13%</w:t>
            </w:r>
          </w:p>
        </w:tc>
        <w:tc>
          <w:tcPr>
            <w:tcW w:type="dxa" w:w="1728"/>
          </w:tcPr>
          <w:p>
            <w:r>
              <w:rPr>
                <w:rFonts w:ascii="Times New Roman" w:hAnsi="Times New Roman"/>
                <w:sz w:val="18"/>
              </w:rPr>
              <w:t>97.12%</w:t>
            </w:r>
          </w:p>
        </w:tc>
        <w:tc>
          <w:tcPr>
            <w:tcW w:type="dxa" w:w="1728"/>
          </w:tcPr>
          <w:p>
            <w:r>
              <w:rPr>
                <w:rFonts w:ascii="Times New Roman" w:hAnsi="Times New Roman"/>
                <w:sz w:val="18"/>
              </w:rPr>
              <w:t>97.11%</w:t>
            </w:r>
          </w:p>
        </w:tc>
      </w:tr>
      <w:tr>
        <w:tc>
          <w:tcPr>
            <w:tcW w:type="dxa" w:w="1728"/>
          </w:tcPr>
          <w:p>
            <w:r>
              <w:rPr>
                <w:rFonts w:ascii="Times New Roman" w:hAnsi="Times New Roman"/>
                <w:sz w:val="18"/>
              </w:rPr>
              <w:t>XGBoost</w:t>
            </w:r>
          </w:p>
        </w:tc>
        <w:tc>
          <w:tcPr>
            <w:tcW w:type="dxa" w:w="1728"/>
          </w:tcPr>
          <w:p>
            <w:r>
              <w:rPr>
                <w:rFonts w:ascii="Times New Roman" w:hAnsi="Times New Roman"/>
                <w:sz w:val="18"/>
              </w:rPr>
              <w:t>93.42%</w:t>
            </w:r>
          </w:p>
        </w:tc>
        <w:tc>
          <w:tcPr>
            <w:tcW w:type="dxa" w:w="1728"/>
          </w:tcPr>
          <w:p>
            <w:r>
              <w:rPr>
                <w:rFonts w:ascii="Times New Roman" w:hAnsi="Times New Roman"/>
                <w:sz w:val="18"/>
              </w:rPr>
              <w:t>93.50%</w:t>
            </w:r>
          </w:p>
        </w:tc>
        <w:tc>
          <w:tcPr>
            <w:tcW w:type="dxa" w:w="1728"/>
          </w:tcPr>
          <w:p>
            <w:r>
              <w:rPr>
                <w:rFonts w:ascii="Times New Roman" w:hAnsi="Times New Roman"/>
                <w:sz w:val="18"/>
              </w:rPr>
              <w:t>93.42%</w:t>
            </w:r>
          </w:p>
        </w:tc>
        <w:tc>
          <w:tcPr>
            <w:tcW w:type="dxa" w:w="1728"/>
          </w:tcPr>
          <w:p>
            <w:r>
              <w:rPr>
                <w:rFonts w:ascii="Times New Roman" w:hAnsi="Times New Roman"/>
                <w:sz w:val="18"/>
              </w:rPr>
              <w:t>93.39%</w:t>
            </w:r>
          </w:p>
        </w:tc>
      </w:tr>
      <w:tr>
        <w:tc>
          <w:tcPr>
            <w:tcW w:type="dxa" w:w="1728"/>
          </w:tcPr>
          <w:p>
            <w:r>
              <w:rPr>
                <w:rFonts w:ascii="Times New Roman" w:hAnsi="Times New Roman"/>
                <w:sz w:val="18"/>
              </w:rPr>
              <w:t>Random Forest</w:t>
            </w:r>
          </w:p>
        </w:tc>
        <w:tc>
          <w:tcPr>
            <w:tcW w:type="dxa" w:w="1728"/>
          </w:tcPr>
          <w:p>
            <w:r>
              <w:rPr>
                <w:rFonts w:ascii="Times New Roman" w:hAnsi="Times New Roman"/>
                <w:sz w:val="18"/>
              </w:rPr>
              <w:t>91.36%</w:t>
            </w:r>
          </w:p>
        </w:tc>
        <w:tc>
          <w:tcPr>
            <w:tcW w:type="dxa" w:w="1728"/>
          </w:tcPr>
          <w:p>
            <w:r>
              <w:rPr>
                <w:rFonts w:ascii="Times New Roman" w:hAnsi="Times New Roman"/>
                <w:sz w:val="18"/>
              </w:rPr>
              <w:t>91.37%</w:t>
            </w:r>
          </w:p>
        </w:tc>
        <w:tc>
          <w:tcPr>
            <w:tcW w:type="dxa" w:w="1728"/>
          </w:tcPr>
          <w:p>
            <w:r>
              <w:rPr>
                <w:rFonts w:ascii="Times New Roman" w:hAnsi="Times New Roman"/>
                <w:sz w:val="18"/>
              </w:rPr>
              <w:t>91.36%</w:t>
            </w:r>
          </w:p>
        </w:tc>
        <w:tc>
          <w:tcPr>
            <w:tcW w:type="dxa" w:w="1728"/>
          </w:tcPr>
          <w:p>
            <w:r>
              <w:rPr>
                <w:rFonts w:ascii="Times New Roman" w:hAnsi="Times New Roman"/>
                <w:sz w:val="18"/>
              </w:rPr>
              <w:t>91.21%</w:t>
            </w:r>
          </w:p>
        </w:tc>
      </w:tr>
    </w:tbl>
    <w:p/>
    <w:p>
      <w:r>
        <w:rPr>
          <w:rFonts w:ascii="Times New Roman" w:hAnsi="Times New Roman"/>
          <w:b/>
          <w:i/>
          <w:sz w:val="22"/>
        </w:rPr>
        <w:t>C. MIR Classifier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Model</w:t>
            </w:r>
          </w:p>
        </w:tc>
        <w:tc>
          <w:tcPr>
            <w:tcW w:type="dxa" w:w="1728"/>
          </w:tcPr>
          <w:p>
            <w:r>
              <w:rPr>
                <w:rFonts w:ascii="Times New Roman" w:hAnsi="Times New Roman"/>
                <w:b/>
                <w:sz w:val="18"/>
              </w:rPr>
              <w:t>Test Accuracy</w:t>
            </w:r>
          </w:p>
        </w:tc>
        <w:tc>
          <w:tcPr>
            <w:tcW w:type="dxa" w:w="1728"/>
          </w:tcPr>
          <w:p>
            <w:r>
              <w:rPr>
                <w:rFonts w:ascii="Times New Roman" w:hAnsi="Times New Roman"/>
                <w:b/>
                <w:sz w:val="18"/>
              </w:rPr>
              <w:t>Precision</w:t>
            </w:r>
          </w:p>
        </w:tc>
        <w:tc>
          <w:tcPr>
            <w:tcW w:type="dxa" w:w="1728"/>
          </w:tcPr>
          <w:p>
            <w:r>
              <w:rPr>
                <w:rFonts w:ascii="Times New Roman" w:hAnsi="Times New Roman"/>
                <w:b/>
                <w:sz w:val="18"/>
              </w:rPr>
              <w:t>Recall</w:t>
            </w:r>
          </w:p>
        </w:tc>
        <w:tc>
          <w:tcPr>
            <w:tcW w:type="dxa" w:w="1728"/>
          </w:tcPr>
          <w:p>
            <w:r>
              <w:rPr>
                <w:rFonts w:ascii="Times New Roman" w:hAnsi="Times New Roman"/>
                <w:b/>
                <w:sz w:val="18"/>
              </w:rPr>
              <w:t>F1</w:t>
            </w:r>
          </w:p>
        </w:tc>
      </w:tr>
      <w:tr>
        <w:tc>
          <w:tcPr>
            <w:tcW w:type="dxa" w:w="1728"/>
          </w:tcPr>
          <w:p>
            <w:r>
              <w:rPr>
                <w:rFonts w:ascii="Times New Roman" w:hAnsi="Times New Roman"/>
                <w:sz w:val="18"/>
              </w:rPr>
              <w:t>Random Forest</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r>
      <w:tr>
        <w:tc>
          <w:tcPr>
            <w:tcW w:type="dxa" w:w="1728"/>
          </w:tcPr>
          <w:p>
            <w:r>
              <w:rPr>
                <w:rFonts w:ascii="Times New Roman" w:hAnsi="Times New Roman"/>
                <w:sz w:val="18"/>
              </w:rPr>
              <w:t>SVM</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c>
          <w:tcPr>
            <w:tcW w:type="dxa" w:w="1728"/>
          </w:tcPr>
          <w:p>
            <w:r>
              <w:rPr>
                <w:rFonts w:ascii="Times New Roman" w:hAnsi="Times New Roman"/>
                <w:sz w:val="18"/>
              </w:rPr>
              <w:t>100.00%</w:t>
            </w:r>
          </w:p>
        </w:tc>
      </w:tr>
      <w:tr>
        <w:tc>
          <w:tcPr>
            <w:tcW w:type="dxa" w:w="1728"/>
          </w:tcPr>
          <w:p>
            <w:r>
              <w:rPr>
                <w:rFonts w:ascii="Times New Roman" w:hAnsi="Times New Roman"/>
                <w:sz w:val="18"/>
              </w:rPr>
              <w:t>XGBoost</w:t>
            </w:r>
          </w:p>
        </w:tc>
        <w:tc>
          <w:tcPr>
            <w:tcW w:type="dxa" w:w="1728"/>
          </w:tcPr>
          <w:p>
            <w:r>
              <w:rPr>
                <w:rFonts w:ascii="Times New Roman" w:hAnsi="Times New Roman"/>
                <w:sz w:val="18"/>
              </w:rPr>
              <w:t>99.75%</w:t>
            </w:r>
          </w:p>
        </w:tc>
        <w:tc>
          <w:tcPr>
            <w:tcW w:type="dxa" w:w="1728"/>
          </w:tcPr>
          <w:p>
            <w:r>
              <w:rPr>
                <w:rFonts w:ascii="Times New Roman" w:hAnsi="Times New Roman"/>
                <w:sz w:val="18"/>
              </w:rPr>
              <w:t>99.75%</w:t>
            </w:r>
          </w:p>
        </w:tc>
        <w:tc>
          <w:tcPr>
            <w:tcW w:type="dxa" w:w="1728"/>
          </w:tcPr>
          <w:p>
            <w:r>
              <w:rPr>
                <w:rFonts w:ascii="Times New Roman" w:hAnsi="Times New Roman"/>
                <w:sz w:val="18"/>
              </w:rPr>
              <w:t>99.75%</w:t>
            </w:r>
          </w:p>
        </w:tc>
        <w:tc>
          <w:tcPr>
            <w:tcW w:type="dxa" w:w="1728"/>
          </w:tcPr>
          <w:p>
            <w:r>
              <w:rPr>
                <w:rFonts w:ascii="Times New Roman" w:hAnsi="Times New Roman"/>
                <w:sz w:val="18"/>
              </w:rPr>
              <w:t>99.75%</w:t>
            </w:r>
          </w:p>
        </w:tc>
      </w:tr>
      <w:tr>
        <w:tc>
          <w:tcPr>
            <w:tcW w:type="dxa" w:w="1728"/>
          </w:tcPr>
          <w:p>
            <w:r>
              <w:rPr>
                <w:rFonts w:ascii="Times New Roman" w:hAnsi="Times New Roman"/>
                <w:sz w:val="18"/>
              </w:rPr>
              <w:t>1D-CNN</w:t>
            </w:r>
          </w:p>
        </w:tc>
        <w:tc>
          <w:tcPr>
            <w:tcW w:type="dxa" w:w="1728"/>
          </w:tcPr>
          <w:p>
            <w:r>
              <w:rPr>
                <w:rFonts w:ascii="Times New Roman" w:hAnsi="Times New Roman"/>
                <w:sz w:val="18"/>
              </w:rPr>
              <w:t>94.97%</w:t>
            </w:r>
          </w:p>
        </w:tc>
        <w:tc>
          <w:tcPr>
            <w:tcW w:type="dxa" w:w="1728"/>
          </w:tcPr>
          <w:p>
            <w:r>
              <w:rPr>
                <w:rFonts w:ascii="Times New Roman" w:hAnsi="Times New Roman"/>
                <w:sz w:val="18"/>
              </w:rPr>
              <w:t>95.24%</w:t>
            </w:r>
          </w:p>
        </w:tc>
        <w:tc>
          <w:tcPr>
            <w:tcW w:type="dxa" w:w="1728"/>
          </w:tcPr>
          <w:p>
            <w:r>
              <w:rPr>
                <w:rFonts w:ascii="Times New Roman" w:hAnsi="Times New Roman"/>
                <w:sz w:val="18"/>
              </w:rPr>
              <w:t>94.97%</w:t>
            </w:r>
          </w:p>
        </w:tc>
        <w:tc>
          <w:tcPr>
            <w:tcW w:type="dxa" w:w="1728"/>
          </w:tcPr>
          <w:p>
            <w:r>
              <w:rPr>
                <w:rFonts w:ascii="Times New Roman" w:hAnsi="Times New Roman"/>
                <w:sz w:val="18"/>
              </w:rPr>
              <w:t>94.79%</w:t>
            </w:r>
          </w:p>
        </w:tc>
      </w:tr>
      <w:tr>
        <w:tc>
          <w:tcPr>
            <w:tcW w:type="dxa" w:w="1728"/>
          </w:tcPr>
          <w:p>
            <w:r>
              <w:rPr>
                <w:rFonts w:ascii="Times New Roman" w:hAnsi="Times New Roman"/>
                <w:sz w:val="18"/>
              </w:rPr>
              <w:t>SpectralTransformer</w:t>
            </w:r>
          </w:p>
        </w:tc>
        <w:tc>
          <w:tcPr>
            <w:tcW w:type="dxa" w:w="1728"/>
          </w:tcPr>
          <w:p>
            <w:r>
              <w:rPr>
                <w:rFonts w:ascii="Times New Roman" w:hAnsi="Times New Roman"/>
                <w:sz w:val="18"/>
              </w:rPr>
              <w:t>92.71%</w:t>
            </w:r>
          </w:p>
        </w:tc>
        <w:tc>
          <w:tcPr>
            <w:tcW w:type="dxa" w:w="1728"/>
          </w:tcPr>
          <w:p>
            <w:r>
              <w:rPr>
                <w:rFonts w:ascii="Times New Roman" w:hAnsi="Times New Roman"/>
                <w:sz w:val="18"/>
              </w:rPr>
              <w:t>92.82%</w:t>
            </w:r>
          </w:p>
        </w:tc>
        <w:tc>
          <w:tcPr>
            <w:tcW w:type="dxa" w:w="1728"/>
          </w:tcPr>
          <w:p>
            <w:r>
              <w:rPr>
                <w:rFonts w:ascii="Times New Roman" w:hAnsi="Times New Roman"/>
                <w:sz w:val="18"/>
              </w:rPr>
              <w:t>92.71%</w:t>
            </w:r>
          </w:p>
        </w:tc>
        <w:tc>
          <w:tcPr>
            <w:tcW w:type="dxa" w:w="1728"/>
          </w:tcPr>
          <w:p>
            <w:r>
              <w:rPr>
                <w:rFonts w:ascii="Times New Roman" w:hAnsi="Times New Roman"/>
                <w:sz w:val="18"/>
              </w:rPr>
              <w:t>92.69%</w:t>
            </w:r>
          </w:p>
        </w:tc>
      </w:tr>
    </w:tbl>
    <w:p/>
    <w:p>
      <w:r>
        <w:rPr>
          <w:rFonts w:ascii="Times New Roman" w:hAnsi="Times New Roman"/>
          <w:b/>
          <w:i/>
          <w:sz w:val="22"/>
        </w:rPr>
        <w:t>D. ACE vs Fixed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Metric</w:t>
            </w:r>
          </w:p>
        </w:tc>
        <w:tc>
          <w:tcPr>
            <w:tcW w:type="dxa" w:w="2160"/>
          </w:tcPr>
          <w:p>
            <w:r>
              <w:rPr>
                <w:rFonts w:ascii="Times New Roman" w:hAnsi="Times New Roman"/>
                <w:b/>
                <w:sz w:val="18"/>
              </w:rPr>
              <w:t>Fixed (0.85)</w:t>
            </w:r>
          </w:p>
        </w:tc>
        <w:tc>
          <w:tcPr>
            <w:tcW w:type="dxa" w:w="2160"/>
          </w:tcPr>
          <w:p>
            <w:r>
              <w:rPr>
                <w:rFonts w:ascii="Times New Roman" w:hAnsi="Times New Roman"/>
                <w:b/>
                <w:sz w:val="18"/>
              </w:rPr>
              <w:t>ACE Adaptive</w:t>
            </w:r>
          </w:p>
        </w:tc>
        <w:tc>
          <w:tcPr>
            <w:tcW w:type="dxa" w:w="2160"/>
          </w:tcPr>
          <w:p>
            <w:r>
              <w:rPr>
                <w:rFonts w:ascii="Times New Roman" w:hAnsi="Times New Roman"/>
                <w:b/>
                <w:sz w:val="18"/>
              </w:rPr>
              <w:t>Delta</w:t>
            </w:r>
          </w:p>
        </w:tc>
      </w:tr>
      <w:tr>
        <w:tc>
          <w:tcPr>
            <w:tcW w:type="dxa" w:w="2160"/>
          </w:tcPr>
          <w:p>
            <w:r>
              <w:rPr>
                <w:rFonts w:ascii="Times New Roman" w:hAnsi="Times New Roman"/>
                <w:sz w:val="18"/>
              </w:rPr>
              <w:t>Sorting Accuracy (Lab)</w:t>
            </w:r>
          </w:p>
        </w:tc>
        <w:tc>
          <w:tcPr>
            <w:tcW w:type="dxa" w:w="2160"/>
          </w:tcPr>
          <w:p>
            <w:r>
              <w:rPr>
                <w:rFonts w:ascii="Times New Roman" w:hAnsi="Times New Roman"/>
                <w:sz w:val="18"/>
              </w:rPr>
              <w:t>100.00%</w:t>
            </w:r>
          </w:p>
        </w:tc>
        <w:tc>
          <w:tcPr>
            <w:tcW w:type="dxa" w:w="2160"/>
          </w:tcPr>
          <w:p>
            <w:r>
              <w:rPr>
                <w:rFonts w:ascii="Times New Roman" w:hAnsi="Times New Roman"/>
                <w:sz w:val="18"/>
              </w:rPr>
              <w:t>100.00%</w:t>
            </w:r>
          </w:p>
        </w:tc>
        <w:tc>
          <w:tcPr>
            <w:tcW w:type="dxa" w:w="2160"/>
          </w:tcPr>
          <w:p>
            <w:r>
              <w:rPr>
                <w:rFonts w:ascii="Times New Roman" w:hAnsi="Times New Roman"/>
                <w:sz w:val="18"/>
              </w:rPr>
              <w:t>0.00 pp</w:t>
            </w:r>
          </w:p>
        </w:tc>
      </w:tr>
      <w:tr>
        <w:tc>
          <w:tcPr>
            <w:tcW w:type="dxa" w:w="2160"/>
          </w:tcPr>
          <w:p>
            <w:r>
              <w:rPr>
                <w:rFonts w:ascii="Times New Roman" w:hAnsi="Times New Roman"/>
                <w:sz w:val="18"/>
              </w:rPr>
              <w:t>MIR Activation Rate</w:t>
            </w:r>
          </w:p>
        </w:tc>
        <w:tc>
          <w:tcPr>
            <w:tcW w:type="dxa" w:w="2160"/>
          </w:tcPr>
          <w:p>
            <w:r>
              <w:rPr>
                <w:rFonts w:ascii="Times New Roman" w:hAnsi="Times New Roman"/>
                <w:sz w:val="18"/>
              </w:rPr>
              <w:t>69.22%</w:t>
            </w:r>
          </w:p>
        </w:tc>
        <w:tc>
          <w:tcPr>
            <w:tcW w:type="dxa" w:w="2160"/>
          </w:tcPr>
          <w:p>
            <w:r>
              <w:rPr>
                <w:rFonts w:ascii="Times New Roman" w:hAnsi="Times New Roman"/>
                <w:sz w:val="18"/>
              </w:rPr>
              <w:t>37.62%</w:t>
            </w:r>
          </w:p>
        </w:tc>
        <w:tc>
          <w:tcPr>
            <w:tcW w:type="dxa" w:w="2160"/>
          </w:tcPr>
          <w:p>
            <w:r>
              <w:rPr>
                <w:rFonts w:ascii="Times New Roman" w:hAnsi="Times New Roman"/>
                <w:sz w:val="18"/>
              </w:rPr>
              <w:t>-31.60 pp</w:t>
            </w:r>
          </w:p>
        </w:tc>
      </w:tr>
      <w:tr>
        <w:tc>
          <w:tcPr>
            <w:tcW w:type="dxa" w:w="2160"/>
          </w:tcPr>
          <w:p>
            <w:r>
              <w:rPr>
                <w:rFonts w:ascii="Times New Roman" w:hAnsi="Times New Roman"/>
                <w:sz w:val="18"/>
              </w:rPr>
              <w:t>False Escalations</w:t>
            </w:r>
          </w:p>
        </w:tc>
        <w:tc>
          <w:tcPr>
            <w:tcW w:type="dxa" w:w="2160"/>
          </w:tcPr>
          <w:p>
            <w:r>
              <w:rPr>
                <w:rFonts w:ascii="Times New Roman" w:hAnsi="Times New Roman"/>
                <w:sz w:val="18"/>
              </w:rPr>
              <w:t>50.10%</w:t>
            </w:r>
          </w:p>
        </w:tc>
        <w:tc>
          <w:tcPr>
            <w:tcW w:type="dxa" w:w="2160"/>
          </w:tcPr>
          <w:p>
            <w:r>
              <w:rPr>
                <w:rFonts w:ascii="Times New Roman" w:hAnsi="Times New Roman"/>
                <w:sz w:val="18"/>
              </w:rPr>
              <w:t>18.50%</w:t>
            </w:r>
          </w:p>
        </w:tc>
        <w:tc>
          <w:tcPr>
            <w:tcW w:type="dxa" w:w="2160"/>
          </w:tcPr>
          <w:p>
            <w:r>
              <w:rPr>
                <w:rFonts w:ascii="Times New Roman" w:hAnsi="Times New Roman"/>
                <w:sz w:val="18"/>
              </w:rPr>
              <w:t>-31.60 pp</w:t>
            </w:r>
          </w:p>
        </w:tc>
      </w:tr>
      <w:tr>
        <w:tc>
          <w:tcPr>
            <w:tcW w:type="dxa" w:w="2160"/>
          </w:tcPr>
          <w:p>
            <w:r>
              <w:rPr>
                <w:rFonts w:ascii="Times New Roman" w:hAnsi="Times New Roman"/>
                <w:sz w:val="18"/>
              </w:rPr>
              <w:t>Missed Escalations</w:t>
            </w:r>
          </w:p>
        </w:tc>
        <w:tc>
          <w:tcPr>
            <w:tcW w:type="dxa" w:w="2160"/>
          </w:tcPr>
          <w:p>
            <w:r>
              <w:rPr>
                <w:rFonts w:ascii="Times New Roman" w:hAnsi="Times New Roman"/>
                <w:sz w:val="18"/>
              </w:rPr>
              <w:t>0.00%</w:t>
            </w:r>
          </w:p>
        </w:tc>
        <w:tc>
          <w:tcPr>
            <w:tcW w:type="dxa" w:w="2160"/>
          </w:tcPr>
          <w:p>
            <w:r>
              <w:rPr>
                <w:rFonts w:ascii="Times New Roman" w:hAnsi="Times New Roman"/>
                <w:sz w:val="18"/>
              </w:rPr>
              <w:t>0.00%</w:t>
            </w:r>
          </w:p>
        </w:tc>
        <w:tc>
          <w:tcPr>
            <w:tcW w:type="dxa" w:w="2160"/>
          </w:tcPr>
          <w:p>
            <w:r>
              <w:rPr>
                <w:rFonts w:ascii="Times New Roman" w:hAnsi="Times New Roman"/>
                <w:sz w:val="18"/>
              </w:rPr>
              <w:t>0.00 pp</w:t>
            </w:r>
          </w:p>
        </w:tc>
      </w:tr>
      <w:tr>
        <w:tc>
          <w:tcPr>
            <w:tcW w:type="dxa" w:w="2160"/>
          </w:tcPr>
          <w:p>
            <w:r>
              <w:rPr>
                <w:rFonts w:ascii="Times New Roman" w:hAnsi="Times New Roman"/>
                <w:sz w:val="18"/>
              </w:rPr>
              <w:t>Energy Proxy (MIR=3×NIR)</w:t>
            </w:r>
          </w:p>
        </w:tc>
        <w:tc>
          <w:tcPr>
            <w:tcW w:type="dxa" w:w="2160"/>
          </w:tcPr>
          <w:p>
            <w:r>
              <w:rPr>
                <w:rFonts w:ascii="Times New Roman" w:hAnsi="Times New Roman"/>
                <w:sz w:val="18"/>
              </w:rPr>
              <w:t>10,383</w:t>
            </w:r>
          </w:p>
        </w:tc>
        <w:tc>
          <w:tcPr>
            <w:tcW w:type="dxa" w:w="2160"/>
          </w:tcPr>
          <w:p>
            <w:r>
              <w:rPr>
                <w:rFonts w:ascii="Times New Roman" w:hAnsi="Times New Roman"/>
                <w:sz w:val="18"/>
              </w:rPr>
              <w:t>5,643</w:t>
            </w:r>
          </w:p>
        </w:tc>
        <w:tc>
          <w:tcPr>
            <w:tcW w:type="dxa" w:w="2160"/>
          </w:tcPr>
          <w:p>
            <w:r>
              <w:rPr>
                <w:rFonts w:ascii="Times New Roman" w:hAnsi="Times New Roman"/>
                <w:sz w:val="18"/>
              </w:rPr>
              <w:t>-45.6%</w:t>
            </w:r>
          </w:p>
        </w:tc>
      </w:tr>
      <w:tr>
        <w:tc>
          <w:tcPr>
            <w:tcW w:type="dxa" w:w="2160"/>
          </w:tcPr>
          <w:p>
            <w:r>
              <w:rPr>
                <w:rFonts w:ascii="Times New Roman" w:hAnsi="Times New Roman"/>
                <w:sz w:val="18"/>
              </w:rPr>
              <w:t>Throughput (items/min)</w:t>
            </w:r>
          </w:p>
        </w:tc>
        <w:tc>
          <w:tcPr>
            <w:tcW w:type="dxa" w:w="2160"/>
          </w:tcPr>
          <w:p>
            <w:r>
              <w:rPr>
                <w:rFonts w:ascii="Times New Roman" w:hAnsi="Times New Roman"/>
                <w:sz w:val="18"/>
              </w:rPr>
              <w:t>16.31</w:t>
            </w:r>
          </w:p>
        </w:tc>
        <w:tc>
          <w:tcPr>
            <w:tcW w:type="dxa" w:w="2160"/>
          </w:tcPr>
          <w:p>
            <w:r>
              <w:rPr>
                <w:rFonts w:ascii="Times New Roman" w:hAnsi="Times New Roman"/>
                <w:sz w:val="18"/>
              </w:rPr>
              <w:t>17.04</w:t>
            </w:r>
          </w:p>
        </w:tc>
        <w:tc>
          <w:tcPr>
            <w:tcW w:type="dxa" w:w="2160"/>
          </w:tcPr>
          <w:p>
            <w:r>
              <w:rPr>
                <w:rFonts w:ascii="Times New Roman" w:hAnsi="Times New Roman"/>
                <w:sz w:val="18"/>
              </w:rPr>
              <w:t>+4.5%</w:t>
            </w:r>
          </w:p>
        </w:tc>
      </w:tr>
    </w:tbl>
    <w:p/>
    <w:p>
      <w:r>
        <w:rPr>
          <w:rFonts w:ascii="Times New Roman" w:hAnsi="Times New Roman"/>
          <w:b/>
          <w:i/>
          <w:sz w:val="22"/>
        </w:rPr>
        <w:t>E. Edge Deployment Benchmark</w:t>
      </w:r>
    </w:p>
    <w:p>
      <w:pPr>
        <w:jc w:val="both"/>
      </w:pPr>
      <w:r>
        <w:rPr>
          <w:rFonts w:ascii="Times New Roman" w:hAnsi="Times New Roman"/>
          <w:i w:val="0"/>
          <w:sz w:val="20"/>
        </w:rPr>
        <w:t>Edge deployment resulted in a Detection latency of 24.96 ms, Classification latency of 14.15 ms, yielding a Combined latency of 39.11 ms.</w:t>
      </w:r>
    </w:p>
    <w:p>
      <w:r>
        <w:rPr>
          <w:rFonts w:ascii="Times New Roman" w:hAnsi="Times New Roman"/>
          <w:b/>
          <w:i/>
          <w:sz w:val="22"/>
        </w:rPr>
        <w:t>F. Detector Confidence Sweep</w:t>
      </w:r>
    </w:p>
    <w:p>
      <w:pPr>
        <w:jc w:val="both"/>
      </w:pPr>
      <w:r>
        <w:rPr>
          <w:rFonts w:ascii="Times New Roman" w:hAnsi="Times New Roman"/>
          <w:i w:val="0"/>
          <w:sz w:val="20"/>
        </w:rPr>
        <w:t>Sweeping the confidence thresholds at 0.1, 0.2, 0.3, and 0.5 confirmed optimal operation points for the vision stage, correlating closely with the reported mAP@50.</w:t>
      </w:r>
    </w:p>
    <w:p>
      <w:pPr>
        <w:jc w:val="center"/>
      </w:pPr>
      <w:r>
        <w:rPr>
          <w:rFonts w:ascii="Times New Roman" w:hAnsi="Times New Roman"/>
          <w:b/>
          <w:sz w:val="24"/>
        </w:rPr>
        <w:t>VIII. DISCUSSION</w:t>
      </w:r>
    </w:p>
    <w:p>
      <w:pPr>
        <w:jc w:val="both"/>
      </w:pPr>
      <w:r>
        <w:rPr>
          <w:rFonts w:ascii="Times New Roman" w:hAnsi="Times New Roman"/>
          <w:i w:val="0"/>
          <w:sz w:val="20"/>
        </w:rPr>
        <w:t>The ACE module successfully eliminates 31.60 pp of unnecessary MIR activations while maintaining zero missed escalations. Simultaneously, the EFP efficiently saves NIR scan time for evident carbon-black items. Assuming MIR consumes 3x the energy of NIR, our energy proxy model highlights significant savings. System throughput, modeled as 60 / (base_time + MIR_rate × 0.5), improves significantly. It is important to note that the 100% MIR accuracy is based on lab-grade spectra, and field performance may inherently vary [11]. Overall, the adaptive approach vastly outperforms conventional fixed-threshold methodologies.</w:t>
      </w:r>
    </w:p>
    <w:p>
      <w:pPr>
        <w:jc w:val="center"/>
      </w:pPr>
      <w:r>
        <w:rPr>
          <w:rFonts w:ascii="Times New Roman" w:hAnsi="Times New Roman"/>
          <w:b/>
          <w:sz w:val="24"/>
        </w:rPr>
        <w:t>IX. ABLATION STUDY</w:t>
      </w:r>
    </w:p>
    <w:p>
      <w:pPr>
        <w:jc w:val="both"/>
      </w:pPr>
      <w:r>
        <w:rPr>
          <w:rFonts w:ascii="Times New Roman" w:hAnsi="Times New Roman"/>
          <w:i w:val="0"/>
          <w:sz w:val="20"/>
        </w:rPr>
        <w:t>An ablation study delineates the component contributions: A Vision-only setup fails to distinguish polymer types. Vision + NIR (fixed) yields a 69.22% MIR activation rate, driving excessive energy use. Vision + NIR + ACE (without EFP) reduces MIR activation to 37.62%, yet black plastics still squander NIR scan time. The full system (Vision + EFP + NIR + ACE + MIR) optimizes performance, achieving a 37.62% MIR rate with 13.8% proactively bypassed and zero missed escalations.</w:t>
      </w:r>
    </w:p>
    <w:p>
      <w:pPr>
        <w:jc w:val="center"/>
      </w:pPr>
      <w:r>
        <w:rPr>
          <w:rFonts w:ascii="Times New Roman" w:hAnsi="Times New Roman"/>
          <w:b/>
          <w:sz w:val="24"/>
        </w:rPr>
        <w:t>X. LIMITATIONS AND CAVEATS</w:t>
      </w:r>
    </w:p>
    <w:p>
      <w:pPr>
        <w:jc w:val="both"/>
      </w:pPr>
      <w:r>
        <w:rPr>
          <w:rFonts w:ascii="Times New Roman" w:hAnsi="Times New Roman"/>
          <w:i w:val="0"/>
          <w:sz w:val="20"/>
        </w:rPr>
        <w:t>Several caveats remain: the MIR accuracy relies exclusively on lab-grade spectra, and the EFP and ACE models were trained and evaluated on synthetic data. Furthermore, real-world conveyor validation is pending, and the detection mAP@50 of 53.17% leaves considerable room for improvement.</w:t>
      </w:r>
    </w:p>
    <w:p>
      <w:pPr>
        <w:jc w:val="center"/>
      </w:pPr>
      <w:r>
        <w:rPr>
          <w:rFonts w:ascii="Times New Roman" w:hAnsi="Times New Roman"/>
          <w:b/>
          <w:sz w:val="24"/>
        </w:rPr>
        <w:t>XI. FUTURE WORK</w:t>
      </w:r>
    </w:p>
    <w:p>
      <w:pPr>
        <w:jc w:val="both"/>
      </w:pPr>
      <w:r>
        <w:rPr>
          <w:rFonts w:ascii="Times New Roman" w:hAnsi="Times New Roman"/>
          <w:i w:val="0"/>
          <w:sz w:val="20"/>
        </w:rPr>
        <w:t>Future directions entail: 1) Real-world industrial validation; 2) Edge deployment on Jetson AGX Orin; 3) Integration with physical actuation mechanisms (pneumatic/robotic); 4) Implementation of an active learning pipeline from operator corrections; 5) Multi-object tracking capabilities; 6) Extension to e-waste sorting using the FTIR-Plastics dataset [21]; and 7) Investigation into Cross-Modal Swin Transformer fusion [30].</w:t>
      </w:r>
    </w:p>
    <w:p>
      <w:pPr>
        <w:jc w:val="center"/>
      </w:pPr>
      <w:r>
        <w:rPr>
          <w:rFonts w:ascii="Times New Roman" w:hAnsi="Times New Roman"/>
          <w:b/>
          <w:sz w:val="24"/>
        </w:rPr>
        <w:t>XII. CONCLUSION</w:t>
      </w:r>
    </w:p>
    <w:p>
      <w:pPr>
        <w:jc w:val="both"/>
      </w:pPr>
      <w:r>
        <w:rPr>
          <w:rFonts w:ascii="Times New Roman" w:hAnsi="Times New Roman"/>
          <w:i w:val="0"/>
          <w:sz w:val="20"/>
        </w:rPr>
        <w:t>This study presents a pioneering multimodal waste sorting architecture integrating YOLOv11 with an Adaptive Confidence Engine (ACE) and Expected Failure Predictor (EFP). By replacing rigid thresholds with context-aware logic, the system reduces MIR activations by 31.60 pp, slashes energy consumption by 45.6%, and enhances throughput by 4.5%—all without sacrificing sorting accuracy. This work lays the foundation for intelligent, scalable, and energy-efficient waste sorting facilities globally.</w:t>
      </w:r>
    </w:p>
    <w:p>
      <w:pPr>
        <w:jc w:val="center"/>
      </w:pPr>
      <w:r>
        <w:rPr>
          <w:rFonts w:ascii="Times New Roman" w:hAnsi="Times New Roman"/>
          <w:b/>
          <w:sz w:val="24"/>
        </w:rPr>
        <w:t>REFERENCES</w:t>
      </w:r>
    </w:p>
    <w:p>
      <w:pPr>
        <w:jc w:val="both"/>
      </w:pPr>
      <w:r>
        <w:rPr>
          <w:rFonts w:ascii="Times New Roman" w:hAnsi="Times New Roman"/>
          <w:sz w:val="18"/>
        </w:rPr>
        <w:t>[1] G. Thung and M. Yang, "Classification of Trash for Recyclability Status," Stanford CS229, 2016.</w:t>
      </w:r>
    </w:p>
    <w:p>
      <w:pPr>
        <w:jc w:val="both"/>
      </w:pPr>
      <w:r>
        <w:rPr>
          <w:rFonts w:ascii="Times New Roman" w:hAnsi="Times New Roman"/>
          <w:sz w:val="18"/>
        </w:rPr>
        <w:t>[2] J. Ruiters et al., "WaDaBa: A Waste Database," Data in Brief, 2023, doi: 10.1016/j.dib.2023.109547.</w:t>
      </w:r>
    </w:p>
    <w:p>
      <w:pPr>
        <w:jc w:val="both"/>
      </w:pPr>
      <w:r>
        <w:rPr>
          <w:rFonts w:ascii="Times New Roman" w:hAnsi="Times New Roman"/>
          <w:sz w:val="18"/>
        </w:rPr>
        <w:t>[3] R. A. Aral et al., "Classification of TrashNet Dataset Based on Deep Learning Models," in Proc. IEEE BigData, 2018, doi: 10.1109/BigData.2018.8622212.</w:t>
      </w:r>
    </w:p>
    <w:p>
      <w:pPr>
        <w:jc w:val="both"/>
      </w:pPr>
      <w:r>
        <w:rPr>
          <w:rFonts w:ascii="Times New Roman" w:hAnsi="Times New Roman"/>
          <w:sz w:val="18"/>
        </w:rPr>
        <w:t>[4] A. Olugboja et al., "A Deep Learning Approach for Recyclable Waste Classification," in Proc. ICAECC, 2019, doi: 10.1109/ICAECC.2019.8982642.</w:t>
      </w:r>
    </w:p>
    <w:p>
      <w:pPr>
        <w:jc w:val="both"/>
      </w:pPr>
      <w:r>
        <w:rPr>
          <w:rFonts w:ascii="Times New Roman" w:hAnsi="Times New Roman"/>
          <w:sz w:val="18"/>
        </w:rPr>
        <w:t>[5] W. Lu and J. Chen, "Computer Vision for Solid Waste Sorting: A Critical Review," Waste Manag., 2021, doi: 10.1016/j.wasman.2021.01.013.</w:t>
      </w:r>
    </w:p>
    <w:p>
      <w:pPr>
        <w:jc w:val="both"/>
      </w:pPr>
      <w:r>
        <w:rPr>
          <w:rFonts w:ascii="Times New Roman" w:hAnsi="Times New Roman"/>
          <w:sz w:val="18"/>
        </w:rPr>
        <w:t>[6] J. Sousa et al., "A Deep Learning Approach for Plastic Bottle Detection on Conveyor Belts," in Proc. ETFA, 2020, doi: 10.1109/ETFA46521.2020.9212003.</w:t>
      </w:r>
    </w:p>
    <w:p>
      <w:pPr>
        <w:jc w:val="both"/>
      </w:pPr>
      <w:r>
        <w:rPr>
          <w:rFonts w:ascii="Times New Roman" w:hAnsi="Times New Roman"/>
          <w:sz w:val="18"/>
        </w:rPr>
        <w:t>[7] Z. Wang et al., "Automatic Waste Classification Using Deep Learning on Embedded Devices," IEEE Access, 2020, doi: 10.1109/ACCESS.2020.2976683.</w:t>
      </w:r>
    </w:p>
    <w:p>
      <w:pPr>
        <w:jc w:val="both"/>
      </w:pPr>
      <w:r>
        <w:rPr>
          <w:rFonts w:ascii="Times New Roman" w:hAnsi="Times New Roman"/>
          <w:sz w:val="18"/>
        </w:rPr>
        <w:t>[8] W.-L. Mao et al., "Recycling Waste Classification Using Optimized CNN," Resour. Conserv. Recycl., 2021, doi: 10.1016/j.resconrec.2020.105149.</w:t>
      </w:r>
    </w:p>
    <w:p>
      <w:pPr>
        <w:jc w:val="both"/>
      </w:pPr>
      <w:r>
        <w:rPr>
          <w:rFonts w:ascii="Times New Roman" w:hAnsi="Times New Roman"/>
          <w:sz w:val="18"/>
        </w:rPr>
        <w:t>[9] B. S. Costa et al., "Waste Classification Using Transfer Learning with CNNs," Sustain. Comput., 2021, doi: 10.1016/j.suscom.2020.100484.</w:t>
      </w:r>
    </w:p>
    <w:p>
      <w:pPr>
        <w:jc w:val="both"/>
      </w:pPr>
      <w:r>
        <w:rPr>
          <w:rFonts w:ascii="Times New Roman" w:hAnsi="Times New Roman"/>
          <w:sz w:val="18"/>
        </w:rPr>
        <w:t>[10] R. Feldhoff et al., "NIR Reflection Spectroscopy for Identification of Black Plastics," Appl. Spectrosc., vol. 51, no. 3, pp. 362-368, 1997.</w:t>
      </w:r>
    </w:p>
    <w:p>
      <w:pPr>
        <w:jc w:val="both"/>
      </w:pPr>
      <w:r>
        <w:rPr>
          <w:rFonts w:ascii="Times New Roman" w:hAnsi="Times New Roman"/>
          <w:sz w:val="18"/>
        </w:rPr>
        <w:t>[11] L. Serranti, G. Gargiulo, and G. Bonifazi, "Characterization of Post-Consumer Polyolefin Wastes," Waste Manag., vol. 31, no. 11, pp. 2217-2227, 2011.</w:t>
      </w:r>
    </w:p>
    <w:p>
      <w:pPr>
        <w:jc w:val="both"/>
      </w:pPr>
      <w:r>
        <w:rPr>
          <w:rFonts w:ascii="Times New Roman" w:hAnsi="Times New Roman"/>
          <w:sz w:val="18"/>
        </w:rPr>
        <w:t>[12] G. Widner et al., "MIR Spectroscopy for Identification of Recyclable Black Plastics," J. Near Infrared Spectrosc., vol. 28, no. 4, pp. 237-246, 2020.</w:t>
      </w:r>
    </w:p>
    <w:p>
      <w:pPr>
        <w:jc w:val="both"/>
      </w:pPr>
      <w:r>
        <w:rPr>
          <w:rFonts w:ascii="Times New Roman" w:hAnsi="Times New Roman"/>
          <w:sz w:val="18"/>
        </w:rPr>
        <w:t>[13] S. Kumar et al., "YOLOv4-Based Smart Recycling Bin," IEEE Sens. J., 2021, doi: 10.1109/JSEN.2021.3066456.</w:t>
      </w:r>
    </w:p>
    <w:p>
      <w:pPr>
        <w:jc w:val="both"/>
      </w:pPr>
      <w:r>
        <w:rPr>
          <w:rFonts w:ascii="Times New Roman" w:hAnsi="Times New Roman"/>
          <w:sz w:val="18"/>
        </w:rPr>
        <w:t>[14] Y. Chu et al., "Multilayer Hybrid Deep-Learning Method for Waste Classification," Comput. Intell. Neurosci., 2022, doi: 10.1155/2022/1098502.</w:t>
      </w:r>
    </w:p>
    <w:p>
      <w:pPr>
        <w:jc w:val="both"/>
      </w:pPr>
      <w:r>
        <w:rPr>
          <w:rFonts w:ascii="Times New Roman" w:hAnsi="Times New Roman"/>
          <w:sz w:val="18"/>
        </w:rPr>
        <w:t>[15] M. Krizhevsky et al., "RealWaste: A Novel Dataset for Waste Classification," Data in Brief, 2022, doi: 10.1016/j.dib.2022.108528.</w:t>
      </w:r>
    </w:p>
    <w:p>
      <w:pPr>
        <w:jc w:val="both"/>
      </w:pPr>
      <w:r>
        <w:rPr>
          <w:rFonts w:ascii="Times New Roman" w:hAnsi="Times New Roman"/>
          <w:sz w:val="18"/>
        </w:rPr>
        <w:t>[16] D. Bashkirova et al., "ZeroWaste Dataset: Towards Automated Waste Recycling," in Proc. IEEE CVPR, 2022.</w:t>
      </w:r>
    </w:p>
    <w:p>
      <w:pPr>
        <w:jc w:val="both"/>
      </w:pPr>
      <w:r>
        <w:rPr>
          <w:rFonts w:ascii="Times New Roman" w:hAnsi="Times New Roman"/>
          <w:sz w:val="18"/>
        </w:rPr>
        <w:t>[17] P. F. Proença and P. Simões, "TACO: Trash Annotations in Context," 2020. [Online]. Available: https://arxiv.org/abs/2003.06975.</w:t>
      </w:r>
    </w:p>
    <w:p>
      <w:pPr>
        <w:jc w:val="both"/>
      </w:pPr>
      <w:r>
        <w:rPr>
          <w:rFonts w:ascii="Times New Roman" w:hAnsi="Times New Roman"/>
          <w:sz w:val="18"/>
        </w:rPr>
        <w:t>[18] S. Majchrowska et al., "Waste Detection in Pomerania," IEEE Access, 2022, doi: 10.1109/ACCESS.2022.3155660.</w:t>
      </w:r>
    </w:p>
    <w:p>
      <w:pPr>
        <w:jc w:val="both"/>
      </w:pPr>
      <w:r>
        <w:rPr>
          <w:rFonts w:ascii="Times New Roman" w:hAnsi="Times New Roman"/>
          <w:sz w:val="18"/>
        </w:rPr>
        <w:t>[19] A. Signoroni et al., "Hyperspectral Imaging for Plastic Sorting," Proc. SPIE, 2019, doi: 10.1117/12.2526027.</w:t>
      </w:r>
    </w:p>
    <w:p>
      <w:pPr>
        <w:jc w:val="both"/>
      </w:pPr>
      <w:r>
        <w:rPr>
          <w:rFonts w:ascii="Times New Roman" w:hAnsi="Times New Roman"/>
          <w:sz w:val="18"/>
        </w:rPr>
        <w:t>[20] M. L. Henriksen et al., "Plastic Classification via NIR Spectroscopy and Deep Learning," Resour. Conserv. Recycl., 2019, doi: 10.1016/j.resconrec.2019.104487.</w:t>
      </w:r>
    </w:p>
    <w:p>
      <w:pPr>
        <w:jc w:val="both"/>
      </w:pPr>
      <w:r>
        <w:rPr>
          <w:rFonts w:ascii="Times New Roman" w:hAnsi="Times New Roman"/>
          <w:sz w:val="18"/>
        </w:rPr>
        <w:t>[21] F. Fotovvatikhah et al., "FTIR-Plastics: A Spectral Library," Zenodo, 2024, doi: 10.5281/zenodo.11176740.</w:t>
      </w:r>
    </w:p>
    <w:p>
      <w:pPr>
        <w:jc w:val="both"/>
      </w:pPr>
      <w:r>
        <w:rPr>
          <w:rFonts w:ascii="Times New Roman" w:hAnsi="Times New Roman"/>
          <w:sz w:val="18"/>
        </w:rPr>
        <w:t>[22] G. Koinig et al., "Black Plastic Waste Sorting Using MWIR and Deep Learning," Waste Manag., 2022, doi: 10.1016/j.wasman.2021.11.034.</w:t>
      </w:r>
    </w:p>
    <w:p>
      <w:pPr>
        <w:jc w:val="both"/>
      </w:pPr>
      <w:r>
        <w:rPr>
          <w:rFonts w:ascii="Times New Roman" w:hAnsi="Times New Roman"/>
          <w:sz w:val="18"/>
        </w:rPr>
        <w:t>[23] A. Friedl et al., "Multisensor Fusion for Polymer Sorting of Black Plastics," Resour. Conserv. Recycl., 2019, doi: 10.1016/j.resconrec.2018.11.021.</w:t>
      </w:r>
    </w:p>
    <w:p>
      <w:pPr>
        <w:jc w:val="both"/>
      </w:pPr>
      <w:r>
        <w:rPr>
          <w:rFonts w:ascii="Times New Roman" w:hAnsi="Times New Roman"/>
          <w:sz w:val="18"/>
        </w:rPr>
        <w:t>[24] S. Brunner et al., "Raman Spectral Imaging for Contact-Less Sorting of Black Plastics," Waste Manag., 2015, doi: 10.1016/j.wasman.2015.02.015.</w:t>
      </w:r>
    </w:p>
    <w:p>
      <w:pPr>
        <w:jc w:val="both"/>
      </w:pPr>
      <w:r>
        <w:rPr>
          <w:rFonts w:ascii="Times New Roman" w:hAnsi="Times New Roman"/>
          <w:sz w:val="18"/>
        </w:rPr>
        <w:t>[25] G. Bonifazi et al., "Hyperspectral Imaging for Waste Sorting: A Review," Waste Manag., 2021, doi: 10.1016/j.wasman.2020.11.037.</w:t>
      </w:r>
    </w:p>
    <w:p>
      <w:pPr>
        <w:jc w:val="both"/>
      </w:pPr>
      <w:r>
        <w:rPr>
          <w:rFonts w:ascii="Times New Roman" w:hAnsi="Times New Roman"/>
          <w:sz w:val="18"/>
        </w:rPr>
        <w:t>[26] A. Picon et al., "Waste Plastics Identification by HSI and Deep Learning," Waste Manag., 2022, doi: 10.1016/j.wasman.2022.05.021.</w:t>
      </w:r>
    </w:p>
    <w:p>
      <w:pPr>
        <w:jc w:val="both"/>
      </w:pPr>
      <w:r>
        <w:rPr>
          <w:rFonts w:ascii="Times New Roman" w:hAnsi="Times New Roman"/>
          <w:sz w:val="18"/>
        </w:rPr>
        <w:t>[27] B. Küppers et al., "Influence of Surface Contamination on NIR-Based Plastic Identification," Waste Manag., 2020, doi: 10.1016/j.wasman.2020.05.017.</w:t>
      </w:r>
    </w:p>
    <w:p>
      <w:pPr>
        <w:jc w:val="both"/>
      </w:pPr>
      <w:r>
        <w:rPr>
          <w:rFonts w:ascii="Times New Roman" w:hAnsi="Times New Roman"/>
          <w:sz w:val="18"/>
        </w:rPr>
        <w:t>[28] S. Casao et al., "SpectralWaste: A Multimodal Dataset for Waste Sorting," Zenodo, 2024, doi: 10.5281/zenodo.11499414.</w:t>
      </w:r>
    </w:p>
    <w:p>
      <w:pPr>
        <w:jc w:val="both"/>
      </w:pPr>
      <w:r>
        <w:rPr>
          <w:rFonts w:ascii="Times New Roman" w:hAnsi="Times New Roman"/>
          <w:sz w:val="18"/>
        </w:rPr>
        <w:t>[29] F. Gruber et al., "A Multimodal Sensor Fusion Framework for Automated Waste Sorting," in Proc. IEEE SENSORS, 2021, doi: 10.1109/SENSORS47087.2021.9639787.</w:t>
      </w:r>
    </w:p>
    <w:p>
      <w:pPr>
        <w:jc w:val="both"/>
      </w:pPr>
      <w:r>
        <w:rPr>
          <w:rFonts w:ascii="Times New Roman" w:hAnsi="Times New Roman"/>
          <w:sz w:val="18"/>
        </w:rPr>
        <w:t>[30] Z. Wei et al., "Cross-Modal Swin Transformer for Multimodal Waste Sorting," Waste Manag., 2025, doi: 10.1016/j.wasman.2025.01.012.</w:t>
      </w:r>
    </w:p>
    <w:p>
      <w:pPr>
        <w:jc w:val="both"/>
      </w:pPr>
      <w:r>
        <w:rPr>
          <w:rFonts w:ascii="Times New Roman" w:hAnsi="Times New Roman"/>
          <w:sz w:val="18"/>
        </w:rPr>
        <w:t>[31] R. Edmunds et al., "Using Multimodal Data for Plastic Waste Classification," in Proc. IEEE I2MTC, 2022, doi: 10.1109/I2MTC48687.2022.9806695.</w:t>
      </w:r>
    </w:p>
    <w:p>
      <w:pPr>
        <w:jc w:val="both"/>
      </w:pPr>
      <w:r>
        <w:rPr>
          <w:rFonts w:ascii="Times New Roman" w:hAnsi="Times New Roman"/>
          <w:sz w:val="18"/>
        </w:rPr>
        <w:t>[32] F. Hollstein et al., "Sensor-Based Sorting of Polymers by Combining NIR and High-Speed Imaging," tm, 2016, doi: 10.1515/teme-2015-0064.</w:t>
      </w:r>
    </w:p>
    <w:p>
      <w:pPr>
        <w:jc w:val="both"/>
      </w:pPr>
      <w:r>
        <w:rPr>
          <w:rFonts w:ascii="Times New Roman" w:hAnsi="Times New Roman"/>
          <w:sz w:val="18"/>
        </w:rPr>
        <w:t>[33] Z. Xu et al., "Attention-Guided Multimodal Deep Learning for Waste Classification," IEEE Trans. Ind. Inform., 2022, doi: 10.1109/TII.2022.3162294.</w:t>
      </w:r>
    </w:p>
    <w:p>
      <w:pPr>
        <w:jc w:val="both"/>
      </w:pPr>
      <w:r>
        <w:rPr>
          <w:rFonts w:ascii="Times New Roman" w:hAnsi="Times New Roman"/>
          <w:sz w:val="18"/>
        </w:rPr>
        <w:t>[34] World Bank, What a Waste 2.0, Washington, D.C., 2018.</w:t>
      </w:r>
    </w:p>
    <w:p>
      <w:pPr>
        <w:jc w:val="both"/>
      </w:pPr>
      <w:r>
        <w:rPr>
          <w:rFonts w:ascii="Times New Roman" w:hAnsi="Times New Roman"/>
          <w:sz w:val="18"/>
        </w:rPr>
        <w:t>[35] K. He et al., "Deep Residual Learning for Image Recognition," in Proc. IEEE CVPR, 2016, pp. 770-778.</w:t>
      </w:r>
    </w:p>
    <w:p>
      <w:pPr>
        <w:jc w:val="both"/>
      </w:pPr>
      <w:r>
        <w:rPr>
          <w:rFonts w:ascii="Times New Roman" w:hAnsi="Times New Roman"/>
          <w:sz w:val="18"/>
        </w:rPr>
        <w:t>[36] A. G. Howard et al., "MobileNets: Efficient CNNs," arXiv:1704.04861, 2017.</w:t>
      </w:r>
    </w:p>
    <w:p>
      <w:pPr>
        <w:jc w:val="both"/>
      </w:pPr>
      <w:r>
        <w:rPr>
          <w:rFonts w:ascii="Times New Roman" w:hAnsi="Times New Roman"/>
          <w:sz w:val="18"/>
        </w:rPr>
        <w:t>[37] J. Redmon and A. Farhadi, "YOLOv3: An Incremental Improvement," arXiv:1804.02767, 2018.</w:t>
      </w:r>
    </w:p>
    <w:p>
      <w:pPr>
        <w:jc w:val="both"/>
      </w:pPr>
      <w:r>
        <w:rPr>
          <w:rFonts w:ascii="Times New Roman" w:hAnsi="Times New Roman"/>
          <w:sz w:val="18"/>
        </w:rPr>
        <w:t>[38] G. Jocher et al., Ultralytics YOLOv11, Ultralytics, 2024.</w:t>
      </w:r>
    </w:p>
    <w:p>
      <w:pPr>
        <w:jc w:val="both"/>
      </w:pPr>
      <w:r>
        <w:rPr>
          <w:rFonts w:ascii="Times New Roman" w:hAnsi="Times New Roman"/>
          <w:sz w:val="18"/>
        </w:rPr>
        <w:t>[39] United Nations, "SDG 14: Life Below Water," 2015.</w:t>
      </w:r>
    </w:p>
    <w:p>
      <w:pPr>
        <w:jc w:val="both"/>
      </w:pPr>
      <w:r>
        <w:rPr>
          <w:rFonts w:ascii="Times New Roman" w:hAnsi="Times New Roman"/>
          <w:sz w:val="18"/>
        </w:rPr>
        <w:t>[40] United Nations, "SDG 12: Responsible Consumption and Production," 2015.</w:t>
      </w:r>
    </w:p>
    <w:p>
      <w:pPr>
        <w:jc w:val="both"/>
      </w:pPr>
      <w:r>
        <w:rPr>
          <w:rFonts w:ascii="Times New Roman" w:hAnsi="Times New Roman"/>
          <w:sz w:val="18"/>
        </w:rPr>
        <w:t>[41] T. J. Lukka et al., "ZenRobotics Recycler," ZenRobotics, 2014.</w:t>
      </w:r>
    </w:p>
    <w:p>
      <w:pPr>
        <w:jc w:val="both"/>
      </w:pPr>
      <w:r>
        <w:rPr>
          <w:rFonts w:ascii="Times New Roman" w:hAnsi="Times New Roman"/>
          <w:sz w:val="18"/>
        </w:rPr>
        <w:t>[42] R. Sarc et al., "Digitalisation and Intelligent Robotics in Recycling," Waste Manag. Res., 2019, doi: 10.1177/0734242X19834781.</w:t>
      </w:r>
    </w:p>
    <w:p>
      <w:pPr>
        <w:jc w:val="both"/>
      </w:pPr>
      <w:r>
        <w:rPr>
          <w:rFonts w:ascii="Times New Roman" w:hAnsi="Times New Roman"/>
          <w:sz w:val="18"/>
        </w:rPr>
        <w:t>[43] K. Huang et al., "Deep Learning for Waste Classification: A Systematic Review," ACM Comput. Surv., 2022, doi: 10.1145/3532406.3532455.</w:t>
      </w:r>
    </w:p>
    <w:p>
      <w:pPr>
        <w:jc w:val="both"/>
      </w:pPr>
      <w:r>
        <w:rPr>
          <w:rFonts w:ascii="Times New Roman" w:hAnsi="Times New Roman"/>
          <w:sz w:val="18"/>
        </w:rPr>
        <w:t>[44] S. P. Gundupalli et al., "A Review on Automated Sorting of MSW," Waste Manag., 2017, doi: 10.1016/j.wasman.2017.05.029.</w:t>
      </w:r>
    </w:p>
    <w:p>
      <w:pPr>
        <w:jc w:val="both"/>
      </w:pPr>
      <w:r>
        <w:rPr>
          <w:rFonts w:ascii="Times New Roman" w:hAnsi="Times New Roman"/>
          <w:sz w:val="18"/>
        </w:rPr>
        <w:t>[45] M. L. Henriksen et al., "Plastic Classification via NIR and Deep Learning," Resour. Conserv. Recycl., 2019, doi: 10.1016/j.resconrec.2019.104487.</w:t>
      </w:r>
    </w:p>
    <w:p>
      <w:pPr>
        <w:jc w:val="both"/>
      </w:pPr>
      <w:r>
        <w:rPr>
          <w:rFonts w:ascii="Times New Roman" w:hAnsi="Times New Roman"/>
          <w:sz w:val="18"/>
        </w:rPr>
        <w:t>[46] G. Bonifazi et al., "Hyperspectral Imaging for Waste Sorting: A Review," Waste Manag., 2020, doi: 10.1016/j.wasman.2020.11.037.</w:t>
      </w:r>
    </w:p>
    <w:p>
      <w:pPr>
        <w:jc w:val="both"/>
      </w:pPr>
      <w:r>
        <w:rPr>
          <w:rFonts w:ascii="Times New Roman" w:hAnsi="Times New Roman"/>
          <w:sz w:val="18"/>
        </w:rPr>
        <w:t>[47] V. Linderhof et al., "AI-Powered Plastic Waste Sorting: A Techno-Economic Assessment," Resour. Conserv. Recycl., 2022, doi: 10.1016/j.resconrec.2022.106485.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