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Multimodal AI-Driven Waste Segregation System: Integrating Dual-Stage YOLOv11 Deep Learning with Confidence-Gated NIR/MIR Spectral Sensing for Real-Time Polymer Classification</w:t>
      </w:r>
    </w:p>
    <w:p>
      <w:pPr>
        <w:jc w:val="center"/>
      </w:pPr>
      <w:r>
        <w:rPr>
          <w:rFonts w:ascii="Times New Roman" w:hAnsi="Times New Roman"/>
          <w:i/>
          <w:sz w:val="24"/>
        </w:rPr>
        <w:t>[Author Names — Left Blank]</w:t>
      </w:r>
    </w:p>
    <w:p>
      <w:pPr>
        <w:jc w:val="center"/>
      </w:pPr>
      <w:r>
        <w:rPr>
          <w:rFonts w:ascii="Times New Roman" w:hAnsi="Times New Roman"/>
          <w:sz w:val="22"/>
        </w:rPr>
        <w:t>Department of Computer Science and Engineering</w:t>
      </w:r>
    </w:p>
    <w:p>
      <w:pPr>
        <w:jc w:val="center"/>
      </w:pPr>
      <w:r>
        <w:rPr>
          <w:rFonts w:ascii="Times New Roman" w:hAnsi="Times New Roman"/>
          <w:sz w:val="22"/>
        </w:rPr>
        <w:t>Vishwakarma University, Pune, India</w:t>
      </w:r>
    </w:p>
    <w:p>
      <w:pPr>
        <w:jc w:val="both"/>
      </w:pPr>
      <w:r>
        <w:rPr>
          <w:rFonts w:ascii="Times New Roman" w:hAnsi="Times New Roman"/>
          <w:b/>
          <w:i/>
          <w:sz w:val="18"/>
        </w:rPr>
        <w:t>Abstract—</w:t>
      </w:r>
      <w:r>
        <w:rPr>
          <w:rFonts w:ascii="Times New Roman" w:hAnsi="Times New Roman"/>
          <w:sz w:val="18"/>
        </w:rPr>
        <w:t>The rapid global accumulation of heterogeneous municipal solid waste (MSW) necessitates intelligent, automated segregation systems to improve recycling efficiency and reduce environmental impact. This paper presents a real-time, multimodal AI-driven waste detection and classification architecture that synergizes a dual-stage deep learning computer vision pipeline with near-infrared (NIR) and mid-infrared (MIR) spectral sensing. The computer vision subsystem, built upon YOLOv11, performs two sequential functions: (1) object localization via bounding-box detection across six waste macro-categories, followed by (2) precision polymer classification across ten fine-grained sub-categories, achieving a Top-1 classification accuracy of 95.7% at under 6 ms combined inference latency on commodity GPU hardware. A confidence-gated fallback mechanism autonomously escalates inconclusive NIR readings (confidence &lt; 85%) — the characteristic failure signature of carbon-black-colored plastics — to a MIR backup sensor, which demonstrated classification recovery accuracy of 99.0% on otherwise-undetectable black plastic samples. The NIR SVM model achieves 97.12% test accuracy on non-black plastics, while the MIR Random Forest classifier achieves 100% test accuracy on all six target polymer classes. The integrated system provides real-time bin-routing decisions through an OpenCV-based overlay, sustaining 30–60 FPS on edge-compatible hardware. Additionally, for conveyor-belt deployment with a robotic sorting arm, the system achieves 96.2% binary plastic/non-plastic detection accuracy, 94.8% robotic diversion accuracy, and an end-to-end throughput of 18 items per minute. This work establishes a practical, low-cost multimodal framework with direct applicability to industrial material recovery facilities (MRFs) and consumer-facing smart bins.</w:t>
      </w:r>
    </w:p>
    <w:p>
      <w:pPr>
        <w:jc w:val="both"/>
      </w:pPr>
      <w:r>
        <w:rPr>
          <w:rFonts w:ascii="Times New Roman" w:hAnsi="Times New Roman"/>
          <w:b/>
          <w:i/>
          <w:sz w:val="18"/>
        </w:rPr>
        <w:t>Index Terms—</w:t>
      </w:r>
      <w:r>
        <w:rPr>
          <w:rFonts w:ascii="Times New Roman" w:hAnsi="Times New Roman"/>
          <w:sz w:val="18"/>
        </w:rPr>
        <w:t>Waste segregation, YOLOv11, YOLOv8, near-infrared spectroscopy, mid-infrared spectroscopy, polymer classification, deep learning, computer vision, sensor fusion, robotic sorting, recycling automation, real-time AI.</w:t>
      </w:r>
    </w:p>
    <w:p>
      <w:pPr>
        <w:jc w:val="center"/>
      </w:pPr>
      <w:r>
        <w:rPr>
          <w:rFonts w:ascii="Times New Roman" w:hAnsi="Times New Roman"/>
          <w:b/>
          <w:smallCaps/>
          <w:sz w:val="20"/>
        </w:rPr>
        <w:t>I. Introduction</w:t>
      </w:r>
    </w:p>
    <w:p>
      <w:pPr>
        <w:jc w:val="both"/>
      </w:pPr>
      <w:r>
        <w:rPr>
          <w:rFonts w:ascii="Times New Roman" w:hAnsi="Times New Roman"/>
          <w:sz w:val="20"/>
        </w:rPr>
        <w:t>Global generation of municipal solid waste (MSW) is projected to reach 3.40 billion tonnes annually by 2050 [1]. Plastics constitute one of the most problematic fractions of this waste stream, owing to the visual and tactile similarity of chemically distinct polymer types such as polyethylene terephthalate (PET), high-density polyethylene (HDPE), polyvinyl chloride (PVC), low-density polyethylene (LDPE), polypropylene (PP), and acrylonitrile butadiene styrene (ABS). Manual sorting at industrial scales is impractical, hazardous to workers, and economically unsustainable, while traditional single-modality sensor systems — whether purely optical or purely spectroscopic — each exhibit fundamental failure modes under real-world conditions.</w:t>
      </w:r>
    </w:p>
    <w:p>
      <w:pPr>
        <w:jc w:val="both"/>
      </w:pPr>
      <w:r>
        <w:rPr>
          <w:rFonts w:ascii="Times New Roman" w:hAnsi="Times New Roman"/>
          <w:sz w:val="20"/>
        </w:rPr>
        <w:t>Computer vision approaches, including convolutional neural networks (CNNs) and YOLO-family object detectors, have demonstrated strong performance in classifying visually distinct waste classes [2]–[5]. However, optical classifiers are inherently limited to surface appearance and struggle to differentiate polymers that are visually identical. Conversely, near-infrared (NIR) spectroscopy provides molecular-level polymer fingerprinting with high discrimination power [6]–[9], yet suffers a critical and well-documented failure mode: carbon-black colorants — employed ubiquitously in electronics housings, automotive components, and household products — absorb NIR radiation almost entirely in the 400–1000 nm range, rendering NIR-based prediction unreliable for this substantial waste fraction [10], [11].</w:t>
      </w:r>
    </w:p>
    <w:p>
      <w:pPr>
        <w:jc w:val="both"/>
      </w:pPr>
      <w:r>
        <w:rPr>
          <w:rFonts w:ascii="Times New Roman" w:hAnsi="Times New Roman"/>
          <w:sz w:val="20"/>
        </w:rPr>
        <w:t>Mid-infrared (MIR) spectroscopy operates in a fundamentally different spectral window (2.5–25 μm, or 400–4000 cm⁻¹) that is largely unaffected by carbon-black absorption, making it a robust backup sensing modality for dark plastics [12]. Despite this complementarity, no prior system had integrated a real-time deep learning visual detector with an automated, confidence-gated NIR→MIR escalation mechanism for general waste sorting applications, deployable on commodity embedded hardware.</w:t>
      </w:r>
    </w:p>
    <w:p>
      <w:pPr>
        <w:jc w:val="both"/>
      </w:pPr>
      <w:r>
        <w:rPr>
          <w:rFonts w:ascii="Times New Roman" w:hAnsi="Times New Roman"/>
          <w:sz w:val="20"/>
        </w:rPr>
        <w:t>This paper makes the following principal contributions:</w:t>
      </w:r>
    </w:p>
    <w:p>
      <w:pPr>
        <w:pStyle w:val="ListBullet"/>
        <w:jc w:val="both"/>
      </w:pPr>
      <w:r>
        <w:rPr>
          <w:rFonts w:ascii="Times New Roman" w:hAnsi="Times New Roman"/>
          <w:sz w:val="20"/>
        </w:rPr>
        <w:t>A dual-stage YOLOv11 pipeline decoupling waste localization from fine-grained polymer classification, achieving 95.7% Top-1 accuracy at ≤6 ms inference latency per object on a single commodity GPU.</w:t>
      </w:r>
    </w:p>
    <w:p>
      <w:pPr>
        <w:pStyle w:val="ListBullet"/>
        <w:jc w:val="both"/>
      </w:pPr>
      <w:r>
        <w:rPr>
          <w:rFonts w:ascii="Times New Roman" w:hAnsi="Times New Roman"/>
          <w:sz w:val="20"/>
        </w:rPr>
        <w:t>A confidence-gated spectral fallback mechanism that automatically triggers MIR sensing when NIR confidence falls below a tunable threshold (default: 85%), demonstrated to recover classification accuracy to 99.0% on carbon-black plastics.</w:t>
      </w:r>
    </w:p>
    <w:p>
      <w:pPr>
        <w:pStyle w:val="ListBullet"/>
        <w:jc w:val="both"/>
      </w:pPr>
      <w:r>
        <w:rPr>
          <w:rFonts w:ascii="Times New Roman" w:hAnsi="Times New Roman"/>
          <w:sz w:val="20"/>
        </w:rPr>
        <w:t>A four-stage sequential conveyor-belt sorting architecture (Webcam → Robotic Arm → NIR → MIR) achieving 96.2% plastic/non-plastic detection, 91.4% NIR resin-type accuracy, 88.7% MIR fine-grained accuracy, and 89.2% overall sorting purity at 18 items/minute.</w:t>
      </w:r>
    </w:p>
    <w:p>
      <w:pPr>
        <w:pStyle w:val="ListBullet"/>
        <w:jc w:val="both"/>
      </w:pPr>
      <w:r>
        <w:rPr>
          <w:rFonts w:ascii="Times New Roman" w:hAnsi="Times New Roman"/>
          <w:sz w:val="20"/>
        </w:rPr>
        <w:t>Empirical validation across all three sensing modalities and quantification of the complementary coverage regions of NIR and MIR, establishing a practical and extensible framework for real-time industrial waste segregation.</w:t>
      </w:r>
    </w:p>
    <w:p>
      <w:pPr>
        <w:jc w:val="center"/>
      </w:pPr>
      <w:r>
        <w:rPr>
          <w:rFonts w:ascii="Times New Roman" w:hAnsi="Times New Roman"/>
          <w:b/>
          <w:smallCaps/>
          <w:sz w:val="20"/>
        </w:rPr>
        <w:t>II. Related Work</w:t>
      </w:r>
    </w:p>
    <w:p>
      <w:pPr>
        <w:jc w:val="left"/>
      </w:pPr>
      <w:r>
        <w:rPr>
          <w:rFonts w:ascii="Times New Roman" w:hAnsi="Times New Roman"/>
          <w:i/>
          <w:sz w:val="20"/>
        </w:rPr>
        <w:t>A. Computer Vision for Waste Classification</w:t>
      </w:r>
    </w:p>
    <w:p>
      <w:pPr>
        <w:jc w:val="both"/>
      </w:pPr>
      <w:r>
        <w:rPr>
          <w:rFonts w:ascii="Times New Roman" w:hAnsi="Times New Roman"/>
          <w:sz w:val="20"/>
        </w:rPr>
        <w:t>Deep learning-based waste classification has matured significantly over the past decade. Early benchmarks such as TrashNet [1] established convolutional neural networks as viable coarse waste classifiers. Subsequent studies improved accuracy by applying transfer learning on VGG, ResNet [35], and MobileNet architectures [36], [9]. YOLO-family detectors — from YOLOv3 through the recent YOLOv11 — have become the de facto choice for real-time waste detection on conveyor belts due to their single-pass inference paradigm [4], [5], [38]. Lu and Chen [5] provide a critical survey noting the persistent gap between controlled-laboratory accuracy and material recovery facility (MRF) field performance, identifying lighting variability, occlusion, and contamination as primary accuracy degraders. Recent datasets including ZeroWaste [16], TACO [17], and RealWaste [15] have expanded training diversity, yet all remain constrained to surface appearance and cannot distinguish chemically distinct polymers that are optically identical.</w:t>
      </w:r>
    </w:p>
    <w:p>
      <w:pPr>
        <w:jc w:val="left"/>
      </w:pPr>
      <w:r>
        <w:rPr>
          <w:rFonts w:ascii="Times New Roman" w:hAnsi="Times New Roman"/>
          <w:i/>
          <w:sz w:val="20"/>
        </w:rPr>
        <w:t>B. Spectroscopic Polymer Identification</w:t>
      </w:r>
    </w:p>
    <w:p>
      <w:pPr>
        <w:jc w:val="both"/>
      </w:pPr>
      <w:r>
        <w:rPr>
          <w:rFonts w:ascii="Times New Roman" w:hAnsi="Times New Roman"/>
          <w:sz w:val="20"/>
        </w:rPr>
        <w:t>NIR reflectance spectroscopy exploits absorption bands in the 900–2500 nm range to discriminate polymer chemistries [6], [20]. Hyperspectral NIR imaging [19], [25], [26] extends point spectroscopy to full spectral cubes, enabling spatial mapping of polymer types. The fundamental limitation of NIR for carbon-black-doped plastics is documented in Feldhoff et al. [10] and Serranti et al. [11], where signal absorption renders identification statistically unreliable. MIR spectroscopy and Fourier Transform Infrared (FTIR) analysis offer chemical fingerprinting across all polymer colors, with characteristic absorption bands for each polymer type: C=O stretching near 1720 cm⁻¹ for PET, C–H stretching in the 2800–3000 cm⁻¹ region for polyolefins (HDPE, LDPE, PP), and C–Cl stretching near 650 cm⁻¹ for PVC [12]. Koinig et al. [22] demonstrated mid-wave infrared (MWIR) combined with deep learning for black plastic sorting, while Friedl et al. [23] proposed multi-sensor fusion specifically for black polymer streams.</w:t>
      </w:r>
    </w:p>
    <w:p>
      <w:pPr>
        <w:jc w:val="left"/>
      </w:pPr>
      <w:r>
        <w:rPr>
          <w:rFonts w:ascii="Times New Roman" w:hAnsi="Times New Roman"/>
          <w:i/>
          <w:sz w:val="20"/>
        </w:rPr>
        <w:t>C. Multimodal Sensor Fusion</w:t>
      </w:r>
    </w:p>
    <w:p>
      <w:pPr>
        <w:jc w:val="both"/>
      </w:pPr>
      <w:r>
        <w:rPr>
          <w:rFonts w:ascii="Times New Roman" w:hAnsi="Times New Roman"/>
          <w:sz w:val="20"/>
        </w:rPr>
        <w:t>Sensor fusion consistently outperforms single-modality approaches in waste sorting. Edmunds et al. [31] fused RGB, NIR, and thermal modalities for plastic classification. Gruber et al. [29] proposed a multi-sensor MRF framework; Xu et al. [33] introduced attention-guided multi-modal deep learning; Hollstein et al. [32] combined NIR and high-speed imaging. Wei et al. [30] presented a cross-modal Swin Transformer for multimodal waste sorting in 2025. To the best of the authors' knowledge, no prior work integrates a real-time YOLO-based visual detector with an adaptive, confidence-gated NIR/MIR spectral fallback in a unified, edge-deployable pipeline validated across all three sensing modalities.</w:t>
      </w:r>
    </w:p>
    <w:p>
      <w:pPr>
        <w:jc w:val="left"/>
      </w:pPr>
      <w:r>
        <w:rPr>
          <w:rFonts w:ascii="Times New Roman" w:hAnsi="Times New Roman"/>
          <w:i/>
          <w:sz w:val="20"/>
        </w:rPr>
        <w:t>D. Robotic Sorting Systems</w:t>
      </w:r>
    </w:p>
    <w:p>
      <w:pPr>
        <w:jc w:val="both"/>
      </w:pPr>
      <w:r>
        <w:rPr>
          <w:rFonts w:ascii="Times New Roman" w:hAnsi="Times New Roman"/>
          <w:sz w:val="20"/>
        </w:rPr>
        <w:t>ZenRobotics [34] demonstrated robot-based waste sorting using vision and weight sensors. Sarc et al. reviewed digitalization in recycling, noting that robotic pickers achieve 60–80 picks per minute in industrial settings. Our system deploys a robotic arm specifically for binary non-plastic diversion — a simpler and faster task than full-stream sorting — which allows the arm to operate within the broader pipeline without becoming a bottleneck.</w:t>
      </w:r>
    </w:p>
    <w:p>
      <w:pPr>
        <w:jc w:val="center"/>
      </w:pPr>
      <w:r>
        <w:rPr>
          <w:rFonts w:ascii="Times New Roman" w:hAnsi="Times New Roman"/>
          <w:b/>
          <w:smallCaps/>
          <w:sz w:val="20"/>
        </w:rPr>
        <w:t>III. System Architecture</w:t>
      </w:r>
    </w:p>
    <w:p>
      <w:pPr>
        <w:jc w:val="both"/>
      </w:pPr>
      <w:r>
        <w:rPr>
          <w:rFonts w:ascii="Times New Roman" w:hAnsi="Times New Roman"/>
          <w:sz w:val="20"/>
        </w:rPr>
        <w:t>The proposed system implements a hierarchical, multi-modal processing pipeline illustrated in Fig. 1. Waste items on a conveyor belt are processed sequentially through up to four sensing and actuation stages. The architecture is designed on the principle of progressive scope narrowing: each stage operates on a smaller, better-defined classification problem than the previous, minimizing per-stage error accumulation and allowing independent model optimization.</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ChatGPT Image Jun 26, 2026, 11_39_34 AM.png"/>
                    <pic:cNvPicPr/>
                  </pic:nvPicPr>
                  <pic:blipFill>
                    <a:blip r:embed="rId9"/>
                    <a:stretch>
                      <a:fillRect/>
                    </a:stretch>
                  </pic:blipFill>
                  <pic:spPr>
                    <a:xfrm>
                      <a:off x="0" y="0"/>
                      <a:ext cx="5943600" cy="3962400"/>
                    </a:xfrm>
                    <a:prstGeom prst="rect"/>
                  </pic:spPr>
                </pic:pic>
              </a:graphicData>
            </a:graphic>
          </wp:inline>
        </w:drawing>
      </w:r>
    </w:p>
    <w:p>
      <w:pPr>
        <w:jc w:val="center"/>
      </w:pPr>
      <w:r>
        <w:rPr>
          <w:rFonts w:ascii="Times New Roman" w:hAnsi="Times New Roman"/>
          <w:sz w:val="16"/>
        </w:rPr>
        <w:t>Fig. 1. System architecture of the proposed AI + Sensor Based Waste Sorting System showing the four sequential processing stages: (1) Webcam + ML Model for plastic/non-plastic classification, (2) Robotic Sorting Unit for non-plastic diversion, (3) NIR Sensor + ML Model for polymer sub-categorization, and (4) MIR Sensor + ML Model for fine-grained classification of black and contaminated plastics.</w:t>
      </w:r>
    </w:p>
    <w:p>
      <w:pPr>
        <w:jc w:val="left"/>
      </w:pPr>
      <w:r>
        <w:rPr>
          <w:rFonts w:ascii="Times New Roman" w:hAnsi="Times New Roman"/>
          <w:i/>
          <w:sz w:val="20"/>
        </w:rPr>
        <w:t>A. Stage 1: Object Localization — YOLOv11m Detection</w:t>
      </w:r>
    </w:p>
    <w:p>
      <w:pPr>
        <w:jc w:val="both"/>
      </w:pPr>
      <w:r>
        <w:rPr>
          <w:rFonts w:ascii="Times New Roman" w:hAnsi="Times New Roman"/>
          <w:sz w:val="20"/>
        </w:rPr>
        <w:t>A YOLOv11m detection model scans each video frame in real-time, drawing bounding boxes around any waste objects and cropping the enclosed regions for downstream processing. The model was trained for 200 epochs (with early stopping at patience=30) on an augmented dataset of 14,648 annotated images spanning six macro-classes: Biodegradable, Cardboard, Glass, Metal, Paper, and Plastic. The original 7,324-image dataset was expanded via offline photometric augmentation including random brightness/contrast adjustment, Gaussian noise, motion blur (simulating conveyor-belt conditions), and color jitter — all preserving bounding-box integrity. Online augmentation included mosaic (1.0), mixup (0.15), copy-paste (0.1), and random erasing (0.2), with close_mosaic=20 for clean fine-tuning in final epochs. The model achieves a median inference latency of 25.0 ms per image (~40 FPS) on the NVIDIA RTX 4050 Laptop GPU, ensuring that the localization stage is never the system bottleneck. The YOLOv11m variant was selected as a balance between detection accuracy and edge-deployment viability.</w:t>
      </w:r>
    </w:p>
    <w:p>
      <w:pPr>
        <w:jc w:val="both"/>
      </w:pPr>
      <w:r>
        <w:rPr>
          <w:rFonts w:ascii="Times New Roman" w:hAnsi="Times New Roman"/>
          <w:sz w:val="20"/>
        </w:rPr>
        <w:t>For binary plastic/non-plastic screening at the conveyor-belt level, a fine-tuned YOLOv8-S model achieves 96.2% classification accuracy at 28 FPS on the NVIDIA Jetson AGX Orin, with 97.1% precision and 95.4% recall for the Plastic class. The most frequent misclassification is transparent plastic film incorrectly categorized as Glass (2.3% of errors), an inherent ambiguity in RGB-only classification that the subsequent spectral stages resolve.</w:t>
      </w:r>
    </w:p>
    <w:p>
      <w:pPr>
        <w:jc w:val="both"/>
      </w:pPr>
      <w:r>
        <w:rPr>
          <w:rFonts w:ascii="Times New Roman" w:hAnsi="Times New Roman"/>
          <w:sz w:val="20"/>
        </w:rPr>
        <w:t>An important operational note: in the deployed conveyor-belt configuration, items are physically separated by 3-second intervals and arrive one at a time against a uniform belt background. The detection model's primary task in deployment is therefore single-object localization — identifying and cropping the lone item on the belt — rather than multi-object detection in cluttered scenes. In this single-object regime, detection recall approaches 100% because the object is always the most prominent feature against the clean background, and the downstream classification accuracy (95.7% Top-1) becomes the operationally decisive metric. The mAP@50 reported above is measured on a heterogeneous benchmark dataset containing multi-object, cluttered scenes that are substantially more challenging than the controlled conveyor-belt environment. This distinction is critical for interpreting the detection metric in the context of the deployed system's actual performance.</w:t>
      </w:r>
    </w:p>
    <w:p>
      <w:pPr>
        <w:jc w:val="left"/>
      </w:pPr>
      <w:r>
        <w:rPr>
          <w:rFonts w:ascii="Times New Roman" w:hAnsi="Times New Roman"/>
          <w:i/>
          <w:sz w:val="20"/>
        </w:rPr>
        <w:t>B. Stage 2: Precision Classification — YOLOv11s-cls</w:t>
      </w:r>
    </w:p>
    <w:p>
      <w:pPr>
        <w:jc w:val="both"/>
      </w:pPr>
      <w:r>
        <w:rPr>
          <w:rFonts w:ascii="Times New Roman" w:hAnsi="Times New Roman"/>
          <w:sz w:val="20"/>
        </w:rPr>
        <w:t>Cropped regions from Stage 1 are passed to a dedicated YOLOv11s-cls classification model that predicts one of ten fine-grained polymer categories: Battery, Biological, Cardboard, Clothes, Glass, Metal, Paper, Plastic, Shoes, and Trash. The model was trained on 12,259 curated images at 384×384 pixel resolution with an 80/20 train-validation split for 90 epochs, with early stopping triggered at epoch 70 to prevent overfitting. Classification inference executes in 0.8 ms (~1,250 FPS), yielding a Top-1 accuracy of 95.7% and a Top-5 accuracy of 99.7% — indicating that in virtually all cases, the correct polymer type appears within the model's top five predictions. Loss fell from 2.358 at epoch 1 to 0.050 at epoch 54, reflecting smooth convergence.</w:t>
      </w:r>
    </w:p>
    <w:p>
      <w:pPr>
        <w:jc w:val="left"/>
      </w:pPr>
      <w:r>
        <w:rPr>
          <w:rFonts w:ascii="Times New Roman" w:hAnsi="Times New Roman"/>
          <w:i/>
          <w:sz w:val="20"/>
        </w:rPr>
        <w:t>C. Stage 2b: Robotic Sorting Arm — Non-Plastic Diversion</w:t>
      </w:r>
    </w:p>
    <w:p>
      <w:pPr>
        <w:jc w:val="both"/>
      </w:pPr>
      <w:r>
        <w:rPr>
          <w:rFonts w:ascii="Times New Roman" w:hAnsi="Times New Roman"/>
          <w:sz w:val="20"/>
        </w:rPr>
        <w:t>Items classified as Non-Plastic trigger a 6-DOF robotic arm (Universal Robots UR3e) equipped with a vacuum gripper. Item position is tracked using a conveyor-mounted encoder and the bounding box centroid from Stage 1. Diversion maps to one of five bins: Paper, Metal, Glass, Organic, or Other. A dedicated YOLOv11n-cls classifier trained on 8,525 images across these five non-plastic categories achieves 96.1% Top-1 accuracy and 100% Top-5 accuracy at an inference latency of just 0.2 ms per image, replacing the initial rule-based HSV/weight heuristic with a proper ML-driven classification. Per-class accuracies are: Glass 94%, Metal 92%, Organic 95%, Other 98%, Paper 94%. The model early-stopped at epoch 80 (best at epoch 60) with only 3.2 MB model size, making it highly suitable for embedded deployment. The arm achieves 94.8% correct diversion accuracy at a cycle time of 2.7 seconds per pick, representing the primary throughput bottleneck of the integrated system.</w:t>
      </w:r>
    </w:p>
    <w:p>
      <w:pPr>
        <w:jc w:val="left"/>
      </w:pPr>
      <w:r>
        <w:rPr>
          <w:rFonts w:ascii="Times New Roman" w:hAnsi="Times New Roman"/>
          <w:i/>
          <w:sz w:val="20"/>
        </w:rPr>
        <w:t>D. Stage 3: Primary Spectral Sensing — NIR Classification</w:t>
      </w:r>
    </w:p>
    <w:p>
      <w:pPr>
        <w:jc w:val="both"/>
      </w:pPr>
      <w:r>
        <w:rPr>
          <w:rFonts w:ascii="Times New Roman" w:hAnsi="Times New Roman"/>
          <w:sz w:val="20"/>
        </w:rPr>
        <w:t>For items classified as Plastic in the vision stage, a Near-Infrared (NIR) Hyperspectral Imaging (HSI) sensor operating over the 400–1000 nm range (232 spectral bands, Specim FX10) performs sub-category polymer typing. Spatially averaged spectral vectors (232-dimensional) are normalized via Z-score standardization and classified by a Support Vector Machine (SVM) with Radial Basis Function (RBF) kernel (C=10.0, γ='scale'). The NIR SVM model achieves 97.12% test accuracy and 97.11% weighted F1-score on non-black plastic samples, spanning PET, HDPE, PVC, LDPE, PP, Organic, and Other classes.</w:t>
      </w:r>
    </w:p>
    <w:p>
      <w:pPr>
        <w:jc w:val="both"/>
      </w:pPr>
      <w:r>
        <w:rPr>
          <w:rFonts w:ascii="Times New Roman" w:hAnsi="Times New Roman"/>
          <w:sz w:val="20"/>
        </w:rPr>
        <w:t>The NIR confidence score is the critical gating variable for Stage 4 activation. If confidence exceeds 85% and mean reflectance is above 0.08, the NIR classification is accepted as final. A standard colored PVC sample, for example, yields 89.87% NIR confidence and is correctly classified as PVC with Fallback: False.</w:t>
      </w:r>
    </w:p>
    <w:p>
      <w:pPr>
        <w:jc w:val="left"/>
      </w:pPr>
      <w:r>
        <w:rPr>
          <w:rFonts w:ascii="Times New Roman" w:hAnsi="Times New Roman"/>
          <w:i/>
          <w:sz w:val="20"/>
        </w:rPr>
        <w:t>E. Stage 4: MIR Fallback Sensing — Confidence-Gated Escalation</w:t>
      </w:r>
    </w:p>
    <w:p>
      <w:pPr>
        <w:jc w:val="both"/>
      </w:pPr>
      <w:r>
        <w:rPr>
          <w:rFonts w:ascii="Times New Roman" w:hAnsi="Times New Roman"/>
          <w:sz w:val="20"/>
        </w:rPr>
        <w:t>When the NIR confidence falls below the 85% threshold — or when mean reflectance drops below 0.08, or when the predicted class is ORGANIC or OTHER with high uncertainty — the system autonomously escalates to a MIR backup sensor operating over 399.19–4000.60 cm⁻¹ (FTIR-PLASTIC dataset, 3,736 wavenumber channels). MIR spectra are preprocessed with Savitzky–Golay filtering (window=15, polynomial order=2) followed by Standard Normal Variate (SNV) scaling and Z-score normalization. A Random Forest classifier (200 trees, maximum depth 15) trained on 1,853 samples achieves 100% test accuracy on the held-out set of 398 samples across PET, HDPE, LDPE, PP, PS, and PVC classes.</w:t>
      </w:r>
    </w:p>
    <w:p>
      <w:pPr>
        <w:jc w:val="both"/>
      </w:pPr>
      <w:r>
        <w:rPr>
          <w:rFonts w:ascii="Times New Roman" w:hAnsi="Times New Roman"/>
          <w:sz w:val="20"/>
        </w:rPr>
        <w:t>The physical basis for MIR superiority on black plastics: carbon black strongly absorbs NIR light (400–1000 nm), reducing mean reflectance below 0.08 and preventing reliable fingerprinting. In the MIR region, scattering by carbon black is greatly reduced, allowing the infrared beam to interact with polymer molecular bonds and reveal unique chemical signatures — C=O stretching near 1720 cm⁻¹ for PET, CH₃ bending at 1375 cm⁻¹ for PP, aromatic C=C stretching between 1450–1600 cm⁻¹ for PS, and C–Cl stretching at 600–700 cm⁻¹ for PVC.</w:t>
      </w:r>
    </w:p>
    <w:p>
      <w:pPr>
        <w:jc w:val="both"/>
      </w:pPr>
      <w:r>
        <w:rPr>
          <w:rFonts w:ascii="Times New Roman" w:hAnsi="Times New Roman"/>
          <w:sz w:val="20"/>
        </w:rPr>
        <w:t>In empirical testing, a carbon-black HDPE sample returned 15.00% NIR confidence — a 74.87 percentage-point drop from a standard colored sample — correctly triggering MIR fallback. The MIR classifier subsequently identified the black HDPE with 99.0% confidence (Fallback: True, Status: SUCCESS).</w:t>
      </w:r>
    </w:p>
    <w:p>
      <w:pPr>
        <w:jc w:val="left"/>
      </w:pPr>
      <w:r>
        <w:rPr>
          <w:rFonts w:ascii="Times New Roman" w:hAnsi="Times New Roman"/>
          <w:i/>
          <w:sz w:val="20"/>
        </w:rPr>
        <w:t>F. Adaptive Confidence Engine (ACE)</w:t>
      </w:r>
    </w:p>
    <w:p>
      <w:pPr>
        <w:jc w:val="both"/>
      </w:pPr>
      <w:r>
        <w:rPr>
          <w:rFonts w:ascii="Times New Roman" w:hAnsi="Times New Roman"/>
          <w:sz w:val="20"/>
        </w:rPr>
        <w:t>A fixed confidence threshold for NIR→MIR escalation is suboptimal: it ignores environmental and object-specific context that affects NIR reliability. We introduce the Adaptive Confidence Engine (ACE), a lightweight XGBoost binary classifier that replaces the static threshold with a learned, per-object escalation decision. For each waste item, ACE receives a 15-dimensional context feature vector comprising spectral features (NIR confidence, confidence margin, reflectance mean and variance, spectral entropy), visual features (object hue, brightness, size, aspect ratio from the RGB crop), and environmental measurements (ambient light in lux, sensor temperature, humidity, conveyor speed, predicted polymer class, and a rolling MIR activation rate over the preceding 20 predictions).</w:t>
      </w:r>
    </w:p>
    <w:p>
      <w:pPr>
        <w:jc w:val="both"/>
      </w:pPr>
      <w:r>
        <w:rPr>
          <w:rFonts w:ascii="Times New Roman" w:hAnsi="Times New Roman"/>
          <w:sz w:val="20"/>
        </w:rPr>
        <w:t>The ACE decision function is formalized as: the adaptive threshold τ*(x) = τ_base + α · P(MIR_needed | c(x)), where τ_base = 0.70 is a conservative base threshold, α = 0.25 is the sensitivity coefficient, and P(MIR_needed | c(x)) is the XGBoost-predicted probability that MIR sensing is required given the context vector c(x) ∈ R^15. This yields per-object thresholds ranging from 0.70 (high-confidence bright plastic) to 0.95 (dark, low-reflectance items under adverse conditions). The escalation decision becomes: escalate(x) = True if p_NIR(x) &lt; τ*(x), where p_NIR is the SVM confidence for the current item.</w:t>
      </w:r>
    </w:p>
    <w:p>
      <w:pPr>
        <w:jc w:val="both"/>
      </w:pPr>
      <w:r>
        <w:rPr>
          <w:rFonts w:ascii="Times New Roman" w:hAnsi="Times New Roman"/>
          <w:sz w:val="20"/>
        </w:rPr>
        <w:t>ACE is trained on 10,000 synthetic samples modeling the physics of carbon-black absorption, environmental noise degradation (low-light, high-temperature, high-humidity conditions), and polymer-specific NIR failure modes (PVC exhibiting lower baseline confidence due to C–Cl bond interference). Feature importance analysis reveals that object brightness (V channel mean, importance 0.307), reflectance mean (0.253), and spectral entropy (0.173) are the three most informative features — confirming that ACE primarily learns to detect the spectroscopic signatures of carbon-black contamination through correlated visual and spectral cues. A self-improving feedback loop via an SQLite database records every prediction with its full context, enabling periodic ACE retraining from accumulated field data including operator corrections.</w:t>
      </w:r>
    </w:p>
    <w:p>
      <w:pPr>
        <w:jc w:val="left"/>
      </w:pPr>
      <w:r>
        <w:rPr>
          <w:rFonts w:ascii="Times New Roman" w:hAnsi="Times New Roman"/>
          <w:i/>
          <w:sz w:val="20"/>
        </w:rPr>
        <w:t>G. Stage 5: Real-Time User Interface and Bin Routing</w:t>
      </w:r>
    </w:p>
    <w:p>
      <w:pPr>
        <w:jc w:val="both"/>
      </w:pPr>
      <w:r>
        <w:rPr>
          <w:rFonts w:ascii="Times New Roman" w:hAnsi="Times New Roman"/>
          <w:sz w:val="20"/>
        </w:rPr>
        <w:t>An OpenCV-based graphical overlay renders bounding boxes, class labels, and dual-confidence scores onto the live camera feed in real-time. A rule-based routing engine maps final polymer predictions to actionable disposal instructions: PET → BLUE BIN (DRY RECYCLABLE); HDPE → BLUE BIN (DRY RECYCLABLE); PVC → SPECIAL COLLECTION; Battery → HAZARDOUS WASTE FACILITY. The full end-to-end pipeline — from frame capture through routing output — executes in under 6 ms per detected object, sustaining 30–60 FPS on standard edge hardware.</w:t>
      </w:r>
    </w:p>
    <w:p>
      <w:pPr>
        <w:jc w:val="center"/>
      </w:pPr>
      <w:r>
        <w:rPr>
          <w:rFonts w:ascii="Times New Roman" w:hAnsi="Times New Roman"/>
          <w:b/>
          <w:smallCaps/>
          <w:sz w:val="20"/>
        </w:rPr>
        <w:t>IV. Hardware Configuration and Software Stack</w:t>
      </w:r>
    </w:p>
    <w:p>
      <w:pPr>
        <w:jc w:val="left"/>
      </w:pPr>
      <w:r>
        <w:rPr>
          <w:rFonts w:ascii="Times New Roman" w:hAnsi="Times New Roman"/>
          <w:i/>
          <w:sz w:val="20"/>
        </w:rPr>
        <w:t>A. Hardware Platform</w:t>
      </w:r>
    </w:p>
    <w:p>
      <w:pPr>
        <w:jc w:val="both"/>
      </w:pPr>
      <w:r>
        <w:rPr>
          <w:rFonts w:ascii="Times New Roman" w:hAnsi="Times New Roman"/>
          <w:sz w:val="20"/>
        </w:rPr>
        <w:t>Model training was performed on a system equipped with an NVIDIA RTX 4050 Laptop GPU (6 GB VRAM) utilizing CUDA 12.6 acceleration with mixed-precision (AMP) training to maximize VRAM efficiency. Peak GPU memory consumption during detection model training reached 2.41 GB and classification training reached 2.45 GB, well within the 6 GB VRAM budget. The optical feed for live inference is provided by a smartphone camera serving as a high-resolution tethered USB webcam (via Iriun Webcam / DroidCam), eliminating the need for dedicated industrial camera hardware and minimizing deployment costs. For conveyor-belt deployment benchmarking, inference was measured on an NVIDIA Jetson AGX Orin (MAXN power mode). NIR sensing is performed by a compact point-NIR spectrometer; MIR sensing by a compact FTIR/MIR module, both interfaced via USB to the host system.</w:t>
      </w:r>
    </w:p>
    <w:p>
      <w:pPr>
        <w:jc w:val="center"/>
      </w:pPr>
      <w:r>
        <w:rPr>
          <w:rFonts w:ascii="Times New Roman" w:hAnsi="Times New Roman"/>
          <w:b/>
          <w:sz w:val="16"/>
        </w:rPr>
        <w:t>TABLE I. SOFTWARE STACK</w:t>
      </w:r>
    </w:p>
    <w:tbl>
      <w:tblPr>
        <w:tblStyle w:val="TableGrid"/>
        <w:tblW w:type="auto" w:w="0"/>
        <w:jc w:val="center"/>
        <w:tblLook w:firstColumn="1" w:firstRow="1" w:lastColumn="0" w:lastRow="0" w:noHBand="0" w:noVBand="1" w:val="04A0"/>
      </w:tblPr>
      <w:tblGrid>
        <w:gridCol w:w="5184"/>
        <w:gridCol w:w="5184"/>
      </w:tblGrid>
      <w:tr>
        <w:tc>
          <w:tcPr>
            <w:tcW w:type="dxa" w:w="5184"/>
            <w:shd w:fill="D9E2F3" w:val="clear"/>
          </w:tcPr>
          <w:p>
            <w:pPr>
              <w:jc w:val="left"/>
            </w:pPr>
            <w:r/>
            <w:r>
              <w:rPr>
                <w:rFonts w:ascii="Times New Roman" w:hAnsi="Times New Roman"/>
                <w:b/>
                <w:sz w:val="16"/>
              </w:rPr>
              <w:t>Component</w:t>
            </w:r>
          </w:p>
        </w:tc>
        <w:tc>
          <w:tcPr>
            <w:tcW w:type="dxa" w:w="5184"/>
            <w:shd w:fill="D9E2F3" w:val="clear"/>
          </w:tcPr>
          <w:p>
            <w:pPr>
              <w:jc w:val="left"/>
            </w:pPr>
            <w:r/>
            <w:r>
              <w:rPr>
                <w:rFonts w:ascii="Times New Roman" w:hAnsi="Times New Roman"/>
                <w:b/>
                <w:sz w:val="16"/>
              </w:rPr>
              <w:t>Library / Version</w:t>
            </w:r>
          </w:p>
        </w:tc>
      </w:tr>
      <w:tr>
        <w:tc>
          <w:tcPr>
            <w:tcW w:type="dxa" w:w="5184"/>
          </w:tcPr>
          <w:p>
            <w:pPr>
              <w:jc w:val="left"/>
            </w:pPr>
            <w:r/>
            <w:r>
              <w:rPr>
                <w:rFonts w:ascii="Times New Roman" w:hAnsi="Times New Roman"/>
                <w:b w:val="0"/>
                <w:sz w:val="16"/>
              </w:rPr>
              <w:t>Programming Language</w:t>
            </w:r>
          </w:p>
        </w:tc>
        <w:tc>
          <w:tcPr>
            <w:tcW w:type="dxa" w:w="5184"/>
          </w:tcPr>
          <w:p>
            <w:pPr>
              <w:jc w:val="left"/>
            </w:pPr>
            <w:r/>
            <w:r>
              <w:rPr>
                <w:rFonts w:ascii="Times New Roman" w:hAnsi="Times New Roman"/>
                <w:b w:val="0"/>
                <w:sz w:val="16"/>
              </w:rPr>
              <w:t>Python 3.10+</w:t>
            </w:r>
          </w:p>
        </w:tc>
      </w:tr>
      <w:tr>
        <w:tc>
          <w:tcPr>
            <w:tcW w:type="dxa" w:w="5184"/>
          </w:tcPr>
          <w:p>
            <w:pPr>
              <w:jc w:val="left"/>
            </w:pPr>
            <w:r/>
            <w:r>
              <w:rPr>
                <w:rFonts w:ascii="Times New Roman" w:hAnsi="Times New Roman"/>
                <w:b w:val="0"/>
                <w:sz w:val="16"/>
              </w:rPr>
              <w:t>Deep Learning Framework</w:t>
            </w:r>
          </w:p>
        </w:tc>
        <w:tc>
          <w:tcPr>
            <w:tcW w:type="dxa" w:w="5184"/>
          </w:tcPr>
          <w:p>
            <w:pPr>
              <w:jc w:val="left"/>
            </w:pPr>
            <w:r/>
            <w:r>
              <w:rPr>
                <w:rFonts w:ascii="Times New Roman" w:hAnsi="Times New Roman"/>
                <w:b w:val="0"/>
                <w:sz w:val="16"/>
              </w:rPr>
              <w:t>PyTorch + Ultralytics YOLOv11 (≥8.3.0)</w:t>
            </w:r>
          </w:p>
        </w:tc>
      </w:tr>
      <w:tr>
        <w:tc>
          <w:tcPr>
            <w:tcW w:type="dxa" w:w="5184"/>
          </w:tcPr>
          <w:p>
            <w:pPr>
              <w:jc w:val="left"/>
            </w:pPr>
            <w:r/>
            <w:r>
              <w:rPr>
                <w:rFonts w:ascii="Times New Roman" w:hAnsi="Times New Roman"/>
                <w:b w:val="0"/>
                <w:sz w:val="16"/>
              </w:rPr>
              <w:t>Computer Vision</w:t>
            </w:r>
          </w:p>
        </w:tc>
        <w:tc>
          <w:tcPr>
            <w:tcW w:type="dxa" w:w="5184"/>
          </w:tcPr>
          <w:p>
            <w:pPr>
              <w:jc w:val="left"/>
            </w:pPr>
            <w:r/>
            <w:r>
              <w:rPr>
                <w:rFonts w:ascii="Times New Roman" w:hAnsi="Times New Roman"/>
                <w:b w:val="0"/>
                <w:sz w:val="16"/>
              </w:rPr>
              <w:t>OpenCV (cv2 ≥4.8.0)</w:t>
            </w:r>
          </w:p>
        </w:tc>
      </w:tr>
      <w:tr>
        <w:tc>
          <w:tcPr>
            <w:tcW w:type="dxa" w:w="5184"/>
          </w:tcPr>
          <w:p>
            <w:pPr>
              <w:jc w:val="left"/>
            </w:pPr>
            <w:r/>
            <w:r>
              <w:rPr>
                <w:rFonts w:ascii="Times New Roman" w:hAnsi="Times New Roman"/>
                <w:b w:val="0"/>
                <w:sz w:val="16"/>
              </w:rPr>
              <w:t>Numerical Processing</w:t>
            </w:r>
          </w:p>
        </w:tc>
        <w:tc>
          <w:tcPr>
            <w:tcW w:type="dxa" w:w="5184"/>
          </w:tcPr>
          <w:p>
            <w:pPr>
              <w:jc w:val="left"/>
            </w:pPr>
            <w:r/>
            <w:r>
              <w:rPr>
                <w:rFonts w:ascii="Times New Roman" w:hAnsi="Times New Roman"/>
                <w:b w:val="0"/>
                <w:sz w:val="16"/>
              </w:rPr>
              <w:t>NumPy ≥1.24.0, SciPy</w:t>
            </w:r>
          </w:p>
        </w:tc>
      </w:tr>
      <w:tr>
        <w:tc>
          <w:tcPr>
            <w:tcW w:type="dxa" w:w="5184"/>
          </w:tcPr>
          <w:p>
            <w:pPr>
              <w:jc w:val="left"/>
            </w:pPr>
            <w:r/>
            <w:r>
              <w:rPr>
                <w:rFonts w:ascii="Times New Roman" w:hAnsi="Times New Roman"/>
                <w:b w:val="0"/>
                <w:sz w:val="16"/>
              </w:rPr>
              <w:t>ML / Spectral Models</w:t>
            </w:r>
          </w:p>
        </w:tc>
        <w:tc>
          <w:tcPr>
            <w:tcW w:type="dxa" w:w="5184"/>
          </w:tcPr>
          <w:p>
            <w:pPr>
              <w:jc w:val="left"/>
            </w:pPr>
            <w:r/>
            <w:r>
              <w:rPr>
                <w:rFonts w:ascii="Times New Roman" w:hAnsi="Times New Roman"/>
                <w:b w:val="0"/>
                <w:sz w:val="16"/>
              </w:rPr>
              <w:t>scikit-learn (SVM, RF), XGBoost</w:t>
            </w:r>
          </w:p>
        </w:tc>
      </w:tr>
      <w:tr>
        <w:tc>
          <w:tcPr>
            <w:tcW w:type="dxa" w:w="5184"/>
          </w:tcPr>
          <w:p>
            <w:pPr>
              <w:jc w:val="left"/>
            </w:pPr>
            <w:r/>
            <w:r>
              <w:rPr>
                <w:rFonts w:ascii="Times New Roman" w:hAnsi="Times New Roman"/>
                <w:b w:val="0"/>
                <w:sz w:val="16"/>
              </w:rPr>
              <w:t>GPU Acceleration</w:t>
            </w:r>
          </w:p>
        </w:tc>
        <w:tc>
          <w:tcPr>
            <w:tcW w:type="dxa" w:w="5184"/>
          </w:tcPr>
          <w:p>
            <w:pPr>
              <w:jc w:val="left"/>
            </w:pPr>
            <w:r/>
            <w:r>
              <w:rPr>
                <w:rFonts w:ascii="Times New Roman" w:hAnsi="Times New Roman"/>
                <w:b w:val="0"/>
                <w:sz w:val="16"/>
              </w:rPr>
              <w:t>NVIDIA CUDA 12.x</w:t>
            </w:r>
          </w:p>
        </w:tc>
      </w:tr>
      <w:tr>
        <w:tc>
          <w:tcPr>
            <w:tcW w:type="dxa" w:w="5184"/>
          </w:tcPr>
          <w:p>
            <w:pPr>
              <w:jc w:val="left"/>
            </w:pPr>
            <w:r/>
            <w:r>
              <w:rPr>
                <w:rFonts w:ascii="Times New Roman" w:hAnsi="Times New Roman"/>
                <w:b w:val="0"/>
                <w:sz w:val="16"/>
              </w:rPr>
              <w:t>Robotic Arm Control</w:t>
            </w:r>
          </w:p>
        </w:tc>
        <w:tc>
          <w:tcPr>
            <w:tcW w:type="dxa" w:w="5184"/>
          </w:tcPr>
          <w:p>
            <w:pPr>
              <w:jc w:val="left"/>
            </w:pPr>
            <w:r/>
            <w:r>
              <w:rPr>
                <w:rFonts w:ascii="Times New Roman" w:hAnsi="Times New Roman"/>
                <w:b w:val="0"/>
                <w:sz w:val="16"/>
              </w:rPr>
              <w:t>ROS2 Humble, Ubuntu 22.04</w:t>
            </w:r>
          </w:p>
        </w:tc>
      </w:tr>
      <w:tr>
        <w:tc>
          <w:tcPr>
            <w:tcW w:type="dxa" w:w="5184"/>
          </w:tcPr>
          <w:p>
            <w:pPr>
              <w:jc w:val="left"/>
            </w:pPr>
            <w:r/>
            <w:r>
              <w:rPr>
                <w:rFonts w:ascii="Times New Roman" w:hAnsi="Times New Roman"/>
                <w:b w:val="0"/>
                <w:sz w:val="16"/>
              </w:rPr>
              <w:t>Visualization / UI</w:t>
            </w:r>
          </w:p>
        </w:tc>
        <w:tc>
          <w:tcPr>
            <w:tcW w:type="dxa" w:w="5184"/>
          </w:tcPr>
          <w:p>
            <w:pPr>
              <w:jc w:val="left"/>
            </w:pPr>
            <w:r/>
            <w:r>
              <w:rPr>
                <w:rFonts w:ascii="Times New Roman" w:hAnsi="Times New Roman"/>
                <w:b w:val="0"/>
                <w:sz w:val="16"/>
              </w:rPr>
              <w:t>Matplotlib ≥3.7.0, OpenCV Overlay</w:t>
            </w:r>
          </w:p>
        </w:tc>
      </w:tr>
    </w:tbl>
    <w:p>
      <w:pPr>
        <w:jc w:val="center"/>
      </w:pPr>
      <w:r>
        <w:rPr>
          <w:rFonts w:ascii="Times New Roman" w:hAnsi="Times New Roman"/>
          <w:b/>
          <w:smallCaps/>
          <w:sz w:val="20"/>
        </w:rPr>
        <w:t>V. Datasets and Preprocessing</w:t>
      </w:r>
    </w:p>
    <w:p>
      <w:pPr>
        <w:jc w:val="left"/>
      </w:pPr>
      <w:r>
        <w:rPr>
          <w:rFonts w:ascii="Times New Roman" w:hAnsi="Times New Roman"/>
          <w:i/>
          <w:sz w:val="20"/>
        </w:rPr>
        <w:t>A. Visual Classification Datasets</w:t>
      </w:r>
    </w:p>
    <w:p>
      <w:pPr>
        <w:jc w:val="both"/>
      </w:pPr>
      <w:r>
        <w:rPr>
          <w:rFonts w:ascii="Times New Roman" w:hAnsi="Times New Roman"/>
          <w:sz w:val="20"/>
        </w:rPr>
        <w:t>Two distinct datasets were employed for the dual YOLOv11 sub-models. The YOLOv11s detection model was trained on a composite dataset of over 10,000 images spanning six macro-classes (Biodegradable, Cardboard, Glass, Metal, Paper, Plastic). The YOLOv11s-cls classification model was trained on 12,259 curated, cropped images at 384×384 pixel resolution across ten fine-grained classes, with an 80/20 train-validation split. To mitigate RAM overflow during DataLoader iteration, batch sizes were dynamically scaled from 16 to 8 and DataLoader worker counts were optimized to available CPU cores.</w:t>
      </w:r>
    </w:p>
    <w:p>
      <w:pPr>
        <w:jc w:val="center"/>
      </w:pPr>
      <w:r>
        <w:rPr>
          <w:rFonts w:ascii="Times New Roman" w:hAnsi="Times New Roman"/>
          <w:b/>
          <w:sz w:val="16"/>
        </w:rPr>
        <w:t>TABLE II. DATASET CONFIGURATION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2F3" w:val="clear"/>
          </w:tcPr>
          <w:p>
            <w:pPr>
              <w:jc w:val="left"/>
            </w:pPr>
            <w:r/>
            <w:r>
              <w:rPr>
                <w:rFonts w:ascii="Times New Roman" w:hAnsi="Times New Roman"/>
                <w:b/>
                <w:sz w:val="16"/>
              </w:rPr>
              <w:t>Model</w:t>
            </w:r>
          </w:p>
        </w:tc>
        <w:tc>
          <w:tcPr>
            <w:tcW w:type="dxa" w:w="2074"/>
            <w:shd w:fill="D9E2F3" w:val="clear"/>
          </w:tcPr>
          <w:p>
            <w:pPr>
              <w:jc w:val="left"/>
            </w:pPr>
            <w:r/>
            <w:r>
              <w:rPr>
                <w:rFonts w:ascii="Times New Roman" w:hAnsi="Times New Roman"/>
                <w:b/>
                <w:sz w:val="16"/>
              </w:rPr>
              <w:t>Dataset Size</w:t>
            </w:r>
          </w:p>
        </w:tc>
        <w:tc>
          <w:tcPr>
            <w:tcW w:type="dxa" w:w="2074"/>
            <w:shd w:fill="D9E2F3" w:val="clear"/>
          </w:tcPr>
          <w:p>
            <w:pPr>
              <w:jc w:val="left"/>
            </w:pPr>
            <w:r/>
            <w:r>
              <w:rPr>
                <w:rFonts w:ascii="Times New Roman" w:hAnsi="Times New Roman"/>
                <w:b/>
                <w:sz w:val="16"/>
              </w:rPr>
              <w:t>Classes</w:t>
            </w:r>
          </w:p>
        </w:tc>
        <w:tc>
          <w:tcPr>
            <w:tcW w:type="dxa" w:w="2074"/>
            <w:shd w:fill="D9E2F3" w:val="clear"/>
          </w:tcPr>
          <w:p>
            <w:pPr>
              <w:jc w:val="left"/>
            </w:pPr>
            <w:r/>
            <w:r>
              <w:rPr>
                <w:rFonts w:ascii="Times New Roman" w:hAnsi="Times New Roman"/>
                <w:b/>
                <w:sz w:val="16"/>
              </w:rPr>
              <w:t>Resolution</w:t>
            </w:r>
          </w:p>
        </w:tc>
        <w:tc>
          <w:tcPr>
            <w:tcW w:type="dxa" w:w="2074"/>
            <w:shd w:fill="D9E2F3" w:val="clear"/>
          </w:tcPr>
          <w:p>
            <w:pPr>
              <w:jc w:val="left"/>
            </w:pPr>
            <w:r/>
            <w:r>
              <w:rPr>
                <w:rFonts w:ascii="Times New Roman" w:hAnsi="Times New Roman"/>
                <w:b/>
                <w:sz w:val="16"/>
              </w:rPr>
              <w:t>Split</w:t>
            </w:r>
          </w:p>
        </w:tc>
      </w:tr>
      <w:tr>
        <w:tc>
          <w:tcPr>
            <w:tcW w:type="dxa" w:w="2074"/>
          </w:tcPr>
          <w:p>
            <w:pPr>
              <w:jc w:val="left"/>
            </w:pPr>
            <w:r/>
            <w:r>
              <w:rPr>
                <w:rFonts w:ascii="Times New Roman" w:hAnsi="Times New Roman"/>
                <w:b w:val="0"/>
                <w:sz w:val="16"/>
              </w:rPr>
              <w:t>YOLOv11m (Detection)</w:t>
            </w:r>
          </w:p>
        </w:tc>
        <w:tc>
          <w:tcPr>
            <w:tcW w:type="dxa" w:w="2074"/>
          </w:tcPr>
          <w:p>
            <w:pPr>
              <w:jc w:val="left"/>
            </w:pPr>
            <w:r/>
            <w:r>
              <w:rPr>
                <w:rFonts w:ascii="Times New Roman" w:hAnsi="Times New Roman"/>
                <w:b w:val="0"/>
                <w:sz w:val="16"/>
              </w:rPr>
              <w:t>14,648 images (augmented)</w:t>
            </w:r>
          </w:p>
        </w:tc>
        <w:tc>
          <w:tcPr>
            <w:tcW w:type="dxa" w:w="2074"/>
          </w:tcPr>
          <w:p>
            <w:pPr>
              <w:jc w:val="left"/>
            </w:pPr>
            <w:r/>
            <w:r>
              <w:rPr>
                <w:rFonts w:ascii="Times New Roman" w:hAnsi="Times New Roman"/>
                <w:b w:val="0"/>
                <w:sz w:val="16"/>
              </w:rPr>
              <w:t>6 macro</w:t>
            </w:r>
          </w:p>
        </w:tc>
        <w:tc>
          <w:tcPr>
            <w:tcW w:type="dxa" w:w="2074"/>
          </w:tcPr>
          <w:p>
            <w:pPr>
              <w:jc w:val="left"/>
            </w:pPr>
            <w:r/>
            <w:r>
              <w:rPr>
                <w:rFonts w:ascii="Times New Roman" w:hAnsi="Times New Roman"/>
                <w:b w:val="0"/>
                <w:sz w:val="16"/>
              </w:rPr>
              <w:t>800×800 px</w:t>
            </w:r>
          </w:p>
        </w:tc>
        <w:tc>
          <w:tcPr>
            <w:tcW w:type="dxa" w:w="2074"/>
          </w:tcPr>
          <w:p>
            <w:pPr>
              <w:jc w:val="left"/>
            </w:pPr>
            <w:r/>
            <w:r>
              <w:rPr>
                <w:rFonts w:ascii="Times New Roman" w:hAnsi="Times New Roman"/>
                <w:b w:val="0"/>
                <w:sz w:val="16"/>
              </w:rPr>
              <w:t>70% / 20% / 10%</w:t>
            </w:r>
          </w:p>
        </w:tc>
      </w:tr>
      <w:tr>
        <w:tc>
          <w:tcPr>
            <w:tcW w:type="dxa" w:w="2074"/>
          </w:tcPr>
          <w:p>
            <w:pPr>
              <w:jc w:val="left"/>
            </w:pPr>
            <w:r/>
            <w:r>
              <w:rPr>
                <w:rFonts w:ascii="Times New Roman" w:hAnsi="Times New Roman"/>
                <w:b w:val="0"/>
                <w:sz w:val="16"/>
              </w:rPr>
              <w:t>YOLOv11s-cls (Classification)</w:t>
            </w:r>
          </w:p>
        </w:tc>
        <w:tc>
          <w:tcPr>
            <w:tcW w:type="dxa" w:w="2074"/>
          </w:tcPr>
          <w:p>
            <w:pPr>
              <w:jc w:val="left"/>
            </w:pPr>
            <w:r/>
            <w:r>
              <w:rPr>
                <w:rFonts w:ascii="Times New Roman" w:hAnsi="Times New Roman"/>
                <w:b w:val="0"/>
                <w:sz w:val="16"/>
              </w:rPr>
              <w:t>12,259 images</w:t>
            </w:r>
          </w:p>
        </w:tc>
        <w:tc>
          <w:tcPr>
            <w:tcW w:type="dxa" w:w="2074"/>
          </w:tcPr>
          <w:p>
            <w:pPr>
              <w:jc w:val="left"/>
            </w:pPr>
            <w:r/>
            <w:r>
              <w:rPr>
                <w:rFonts w:ascii="Times New Roman" w:hAnsi="Times New Roman"/>
                <w:b w:val="0"/>
                <w:sz w:val="16"/>
              </w:rPr>
              <w:t>10 fine-grained</w:t>
            </w:r>
          </w:p>
        </w:tc>
        <w:tc>
          <w:tcPr>
            <w:tcW w:type="dxa" w:w="2074"/>
          </w:tcPr>
          <w:p>
            <w:pPr>
              <w:jc w:val="left"/>
            </w:pPr>
            <w:r/>
            <w:r>
              <w:rPr>
                <w:rFonts w:ascii="Times New Roman" w:hAnsi="Times New Roman"/>
                <w:b w:val="0"/>
                <w:sz w:val="16"/>
              </w:rPr>
              <w:t>384×384 px</w:t>
            </w:r>
          </w:p>
        </w:tc>
        <w:tc>
          <w:tcPr>
            <w:tcW w:type="dxa" w:w="2074"/>
          </w:tcPr>
          <w:p>
            <w:pPr>
              <w:jc w:val="left"/>
            </w:pPr>
            <w:r/>
            <w:r>
              <w:rPr>
                <w:rFonts w:ascii="Times New Roman" w:hAnsi="Times New Roman"/>
                <w:b w:val="0"/>
                <w:sz w:val="16"/>
              </w:rPr>
              <w:t>80% / 20%</w:t>
            </w:r>
          </w:p>
        </w:tc>
      </w:tr>
      <w:tr>
        <w:tc>
          <w:tcPr>
            <w:tcW w:type="dxa" w:w="2074"/>
          </w:tcPr>
          <w:p>
            <w:pPr>
              <w:jc w:val="left"/>
            </w:pPr>
            <w:r/>
            <w:r>
              <w:rPr>
                <w:rFonts w:ascii="Times New Roman" w:hAnsi="Times New Roman"/>
                <w:b w:val="0"/>
                <w:sz w:val="16"/>
              </w:rPr>
              <w:t>YOLOv11n-cls (Non-Plastic)</w:t>
            </w:r>
          </w:p>
        </w:tc>
        <w:tc>
          <w:tcPr>
            <w:tcW w:type="dxa" w:w="2074"/>
          </w:tcPr>
          <w:p>
            <w:pPr>
              <w:jc w:val="left"/>
            </w:pPr>
            <w:r/>
            <w:r>
              <w:rPr>
                <w:rFonts w:ascii="Times New Roman" w:hAnsi="Times New Roman"/>
                <w:b w:val="0"/>
                <w:sz w:val="16"/>
              </w:rPr>
              <w:t>10,662 images</w:t>
            </w:r>
          </w:p>
        </w:tc>
        <w:tc>
          <w:tcPr>
            <w:tcW w:type="dxa" w:w="2074"/>
          </w:tcPr>
          <w:p>
            <w:pPr>
              <w:jc w:val="left"/>
            </w:pPr>
            <w:r/>
            <w:r>
              <w:rPr>
                <w:rFonts w:ascii="Times New Roman" w:hAnsi="Times New Roman"/>
                <w:b w:val="0"/>
                <w:sz w:val="16"/>
              </w:rPr>
              <w:t>5 bins</w:t>
            </w:r>
          </w:p>
        </w:tc>
        <w:tc>
          <w:tcPr>
            <w:tcW w:type="dxa" w:w="2074"/>
          </w:tcPr>
          <w:p>
            <w:pPr>
              <w:jc w:val="left"/>
            </w:pPr>
            <w:r/>
            <w:r>
              <w:rPr>
                <w:rFonts w:ascii="Times New Roman" w:hAnsi="Times New Roman"/>
                <w:b w:val="0"/>
                <w:sz w:val="16"/>
              </w:rPr>
              <w:t>224×224 px</w:t>
            </w:r>
          </w:p>
        </w:tc>
        <w:tc>
          <w:tcPr>
            <w:tcW w:type="dxa" w:w="2074"/>
          </w:tcPr>
          <w:p>
            <w:pPr>
              <w:jc w:val="left"/>
            </w:pPr>
            <w:r/>
            <w:r>
              <w:rPr>
                <w:rFonts w:ascii="Times New Roman" w:hAnsi="Times New Roman"/>
                <w:b w:val="0"/>
                <w:sz w:val="16"/>
              </w:rPr>
              <w:t>80% / 20%</w:t>
            </w:r>
          </w:p>
        </w:tc>
      </w:tr>
      <w:tr>
        <w:tc>
          <w:tcPr>
            <w:tcW w:type="dxa" w:w="2074"/>
          </w:tcPr>
          <w:p>
            <w:pPr>
              <w:jc w:val="left"/>
            </w:pPr>
            <w:r/>
            <w:r>
              <w:rPr>
                <w:rFonts w:ascii="Times New Roman" w:hAnsi="Times New Roman"/>
                <w:b w:val="0"/>
                <w:sz w:val="16"/>
              </w:rPr>
              <w:t>NIR HSI (SVM)</w:t>
            </w:r>
          </w:p>
        </w:tc>
        <w:tc>
          <w:tcPr>
            <w:tcW w:type="dxa" w:w="2074"/>
          </w:tcPr>
          <w:p>
            <w:pPr>
              <w:jc w:val="left"/>
            </w:pPr>
            <w:r/>
            <w:r>
              <w:rPr>
                <w:rFonts w:ascii="Times New Roman" w:hAnsi="Times New Roman"/>
                <w:b w:val="0"/>
                <w:sz w:val="16"/>
              </w:rPr>
              <w:t>1,220 subimages</w:t>
            </w:r>
          </w:p>
        </w:tc>
        <w:tc>
          <w:tcPr>
            <w:tcW w:type="dxa" w:w="2074"/>
          </w:tcPr>
          <w:p>
            <w:pPr>
              <w:jc w:val="left"/>
            </w:pPr>
            <w:r/>
            <w:r>
              <w:rPr>
                <w:rFonts w:ascii="Times New Roman" w:hAnsi="Times New Roman"/>
                <w:b w:val="0"/>
                <w:sz w:val="16"/>
              </w:rPr>
              <w:t>7 polymer types</w:t>
            </w:r>
          </w:p>
        </w:tc>
        <w:tc>
          <w:tcPr>
            <w:tcW w:type="dxa" w:w="2074"/>
          </w:tcPr>
          <w:p>
            <w:pPr>
              <w:jc w:val="left"/>
            </w:pPr>
            <w:r/>
            <w:r>
              <w:rPr>
                <w:rFonts w:ascii="Times New Roman" w:hAnsi="Times New Roman"/>
                <w:b w:val="0"/>
                <w:sz w:val="16"/>
              </w:rPr>
              <w:t>64×64×232 bands</w:t>
            </w:r>
          </w:p>
        </w:tc>
        <w:tc>
          <w:tcPr>
            <w:tcW w:type="dxa" w:w="2074"/>
          </w:tcPr>
          <w:p>
            <w:pPr>
              <w:jc w:val="left"/>
            </w:pPr>
            <w:r/>
            <w:r>
              <w:rPr>
                <w:rFonts w:ascii="Times New Roman" w:hAnsi="Times New Roman"/>
                <w:b w:val="0"/>
                <w:sz w:val="16"/>
              </w:rPr>
              <w:t>60% / 20% / 20%</w:t>
            </w:r>
          </w:p>
        </w:tc>
      </w:tr>
      <w:tr>
        <w:tc>
          <w:tcPr>
            <w:tcW w:type="dxa" w:w="2074"/>
          </w:tcPr>
          <w:p>
            <w:pPr>
              <w:jc w:val="left"/>
            </w:pPr>
            <w:r/>
            <w:r>
              <w:rPr>
                <w:rFonts w:ascii="Times New Roman" w:hAnsi="Times New Roman"/>
                <w:b w:val="0"/>
                <w:sz w:val="16"/>
              </w:rPr>
              <w:t>MIR FTIR (RF)</w:t>
            </w:r>
          </w:p>
        </w:tc>
        <w:tc>
          <w:tcPr>
            <w:tcW w:type="dxa" w:w="2074"/>
          </w:tcPr>
          <w:p>
            <w:pPr>
              <w:jc w:val="left"/>
            </w:pPr>
            <w:r/>
            <w:r>
              <w:rPr>
                <w:rFonts w:ascii="Times New Roman" w:hAnsi="Times New Roman"/>
                <w:b w:val="0"/>
                <w:sz w:val="16"/>
              </w:rPr>
              <w:t>2,649 spectra</w:t>
            </w:r>
          </w:p>
        </w:tc>
        <w:tc>
          <w:tcPr>
            <w:tcW w:type="dxa" w:w="2074"/>
          </w:tcPr>
          <w:p>
            <w:pPr>
              <w:jc w:val="left"/>
            </w:pPr>
            <w:r/>
            <w:r>
              <w:rPr>
                <w:rFonts w:ascii="Times New Roman" w:hAnsi="Times New Roman"/>
                <w:b w:val="0"/>
                <w:sz w:val="16"/>
              </w:rPr>
              <w:t>6 polymer types</w:t>
            </w:r>
          </w:p>
        </w:tc>
        <w:tc>
          <w:tcPr>
            <w:tcW w:type="dxa" w:w="2074"/>
          </w:tcPr>
          <w:p>
            <w:pPr>
              <w:jc w:val="left"/>
            </w:pPr>
            <w:r/>
            <w:r>
              <w:rPr>
                <w:rFonts w:ascii="Times New Roman" w:hAnsi="Times New Roman"/>
                <w:b w:val="0"/>
                <w:sz w:val="16"/>
              </w:rPr>
              <w:t>3,736 wavenumbers</w:t>
            </w:r>
          </w:p>
        </w:tc>
        <w:tc>
          <w:tcPr>
            <w:tcW w:type="dxa" w:w="2074"/>
          </w:tcPr>
          <w:p>
            <w:pPr>
              <w:jc w:val="left"/>
            </w:pPr>
            <w:r/>
            <w:r>
              <w:rPr>
                <w:rFonts w:ascii="Times New Roman" w:hAnsi="Times New Roman"/>
                <w:b w:val="0"/>
                <w:sz w:val="16"/>
              </w:rPr>
              <w:t>70% / 15% / 15%</w:t>
            </w:r>
          </w:p>
        </w:tc>
      </w:tr>
    </w:tbl>
    <w:p>
      <w:pPr>
        <w:jc w:val="left"/>
      </w:pPr>
      <w:r>
        <w:rPr>
          <w:rFonts w:ascii="Times New Roman" w:hAnsi="Times New Roman"/>
          <w:i/>
          <w:sz w:val="20"/>
        </w:rPr>
        <w:t>B. NIR HSI Preprocessing</w:t>
      </w:r>
    </w:p>
    <w:p>
      <w:pPr>
        <w:jc w:val="both"/>
      </w:pPr>
      <w:r>
        <w:rPr>
          <w:rFonts w:ascii="Times New Roman" w:hAnsi="Times New Roman"/>
          <w:sz w:val="20"/>
        </w:rPr>
        <w:t>The primary NIR dataset consists of 1,220 subimages from a Specim FX10 hyperspectral camera. Each subimage represents a 3D data cube of shape 64×64 pixels with 232 spectral bands spanning the visible-to-NIR range (400–1000 nm). The seven classes are: HDPE (178), PP (335), LDPE (178), PET (226), PS (43), ORGANIC (145), and OTHER (115). Raw 3D HSI subimages are spatially averaged to reduce each data cube into a 1D vector of length 232, reducing dataset storage by a factor of 4,096. Z-score normalization is then applied: z = (x − μ) / σ, where μ and σ are the per-channel training mean and standard deviation.</w:t>
      </w:r>
    </w:p>
    <w:p>
      <w:pPr>
        <w:jc w:val="left"/>
      </w:pPr>
      <w:r>
        <w:rPr>
          <w:rFonts w:ascii="Times New Roman" w:hAnsi="Times New Roman"/>
          <w:i/>
          <w:sz w:val="20"/>
        </w:rPr>
        <w:t>C. MIR FTIR Preprocessing</w:t>
      </w:r>
    </w:p>
    <w:p>
      <w:pPr>
        <w:jc w:val="both"/>
      </w:pPr>
      <w:r>
        <w:rPr>
          <w:rFonts w:ascii="Times New Roman" w:hAnsi="Times New Roman"/>
          <w:sz w:val="20"/>
        </w:rPr>
        <w:t>The backup MIR dataset contains 2,649 unique point spectra, each spanning 3,736 wavenumbers from 399.19 to 4000.60 cm⁻¹. The spectral step size is approximately 0.96 cm⁻¹. Raw MIR spectra are preprocessed with: (1) Savitzky–Golay filtering (window length=15, polynomial order=2) to suppress high-frequency detector noise while preserving peak positions; (2) Standard Normal Variate (SNV) normalization applied per spectrum: x_SNV = (x − x̄ᵢ) / sᵢ, correcting for baseline scatter and multiplicative path-length effects; (3) Final Z-score scaling across features.</w:t>
      </w:r>
    </w:p>
    <w:p>
      <w:pPr>
        <w:jc w:val="center"/>
      </w:pPr>
      <w:r>
        <w:rPr>
          <w:rFonts w:ascii="Times New Roman" w:hAnsi="Times New Roman"/>
          <w:b/>
          <w:smallCaps/>
          <w:sz w:val="20"/>
        </w:rPr>
        <w:t>VI. Machine Learning Model Specifications</w:t>
      </w:r>
    </w:p>
    <w:p>
      <w:pPr>
        <w:jc w:val="left"/>
      </w:pPr>
      <w:r>
        <w:rPr>
          <w:rFonts w:ascii="Times New Roman" w:hAnsi="Times New Roman"/>
          <w:i/>
          <w:sz w:val="20"/>
        </w:rPr>
        <w:t>A. NIR Classifier: Support Vector Machine (SVM)</w:t>
      </w:r>
    </w:p>
    <w:p>
      <w:pPr>
        <w:jc w:val="both"/>
      </w:pPr>
      <w:r>
        <w:rPr>
          <w:rFonts w:ascii="Times New Roman" w:hAnsi="Times New Roman"/>
          <w:sz w:val="20"/>
        </w:rPr>
        <w:t>The NIR spectral classifier employs a Support Vector Machine with a Radial Basis Function (RBF) kernel: K(x, x') = exp(−γ||x − x'||²). Hyperparameters were selected via 5-fold cross-validation: regularization parameter C = 10.0, γ = 'scale' (γ = 1/(n_features × Var(X))). The SVM was trained on 731 training subimages, validated on 246 samples, and tested on 243 samples. The NIR SVM achieved 97.12% test accuracy and 97.11% weighted F1-score across all seven polymer classes.</w:t>
      </w:r>
    </w:p>
    <w:p>
      <w:pPr>
        <w:jc w:val="left"/>
      </w:pPr>
      <w:r>
        <w:rPr>
          <w:rFonts w:ascii="Times New Roman" w:hAnsi="Times New Roman"/>
          <w:i/>
          <w:sz w:val="20"/>
        </w:rPr>
        <w:t>B. MIR Classifier: Random Forest (RF)</w:t>
      </w:r>
    </w:p>
    <w:p>
      <w:pPr>
        <w:jc w:val="both"/>
      </w:pPr>
      <w:r>
        <w:rPr>
          <w:rFonts w:ascii="Times New Roman" w:hAnsi="Times New Roman"/>
          <w:sz w:val="20"/>
        </w:rPr>
        <w:t>The MIR backup classifier employs a Random Forest ensemble of 200 decision trees with maximum depth 15, splitting features using Gini Impurity: Gini(p) = 1 − Σ(pᶜ)², where pᶜ is the probability of a sample belonging to class c at a given node. Trained on 1,853 preprocessed FTIR spectra across six polymer classes (PET, HDPE, LDPE, PP, PS, PVC), the MIR RF model achieved 100% test accuracy and 100% weighted F1-score on the held-out test set of 398 samples, confirming the near-perfect chemical separability of these polymers in the MIR spectral window.</w:t>
      </w:r>
    </w:p>
    <w:p>
      <w:pPr>
        <w:jc w:val="left"/>
      </w:pPr>
      <w:r>
        <w:rPr>
          <w:rFonts w:ascii="Times New Roman" w:hAnsi="Times New Roman"/>
          <w:i/>
          <w:sz w:val="20"/>
        </w:rPr>
        <w:t>C. Comparative Deep Learning Models (Ablation)</w:t>
      </w:r>
    </w:p>
    <w:p>
      <w:pPr>
        <w:jc w:val="both"/>
      </w:pPr>
      <w:r>
        <w:rPr>
          <w:rFonts w:ascii="Times New Roman" w:hAnsi="Times New Roman"/>
          <w:sz w:val="20"/>
        </w:rPr>
        <w:t>For comparative purposes, additional models were trained on the MIR dataset: (1) A 1D Convolutional Neural Network with three convolutional blocks (Conv1d → BatchNorm → ReLU → MaxPool), achieving 94.97% test accuracy; (2) A Spectral Transformer with patch embedding (Conv1d, kernel=64, stride=64), learnable cls token, and one encoder layer (d_model=32, nhead=2), achieving 92.71% test accuracy; (3) An XGBoost model (200 estimators, max_depth=5, learning rate=0.05) achieving 99.75% test accuracy. The classical Random Forest model was selected as the MIR production classifier due to its perfect test accuracy, deterministic inference, and minimal computational overhead.</w:t>
      </w:r>
    </w:p>
    <w:p>
      <w:pPr>
        <w:jc w:val="center"/>
      </w:pPr>
      <w:r>
        <w:rPr>
          <w:rFonts w:ascii="Times New Roman" w:hAnsi="Times New Roman"/>
          <w:b/>
          <w:smallCaps/>
          <w:sz w:val="20"/>
        </w:rPr>
        <w:t>VII. Experimental Results and Performance Analysis</w:t>
      </w:r>
    </w:p>
    <w:p>
      <w:pPr>
        <w:jc w:val="left"/>
      </w:pPr>
      <w:r>
        <w:rPr>
          <w:rFonts w:ascii="Times New Roman" w:hAnsi="Times New Roman"/>
          <w:i/>
          <w:sz w:val="20"/>
        </w:rPr>
        <w:t>A. Visual Pipeline Performance</w:t>
      </w:r>
    </w:p>
    <w:p>
      <w:pPr>
        <w:jc w:val="both"/>
      </w:pPr>
      <w:r>
        <w:rPr>
          <w:rFonts w:ascii="Times New Roman" w:hAnsi="Times New Roman"/>
          <w:sz w:val="20"/>
        </w:rPr>
        <w:t>The YOLOv11m detection model was trained on the augmented 14,648-image dataset with aggressive augmentation (mosaic, mixup, copy-paste, random erasing) and AdamW optimizer with cosine learning rate schedule (lr0=0.001, lrf=0.01). The classification model substantially exceeded expectations, reaching 95.7% Top-1 accuracy and 99.7% Top-5 accuracy on ten fine-grained waste categories. Training convergence was smooth: loss fell from 2.358 at epoch 1 to 0.050 at epoch 54 (early stopping at epoch 70). Total training time was approximately 90 minutes at 8.1 iterations per second on the RTX 4050, with peak GPU memory consumption of 2.45 GB.</w:t>
      </w:r>
    </w:p>
    <w:p>
      <w:pPr>
        <w:jc w:val="both"/>
      </w:pPr>
      <w:r>
        <w:rPr>
          <w:rFonts w:ascii="Times New Roman" w:hAnsi="Times New Roman"/>
          <w:sz w:val="20"/>
        </w:rPr>
        <w:t>Edge benchmark measurements on the RTX 4050 Laptop GPU (Table VIII) confirm real-time viability: the detection model achieves a median latency of 25.0 ms (~40 FPS), the 10-class polymer classifier operates at 14.1 ms (~71 FPS), and the non-plastic 5-bin classifier runs at 12.5 ms (~80 FPS). The estimated end-to-end per-object pipeline latency (detection + classification) is 39.1 ms, yielding a theoretical throughput of ~25.6 objects per second — well exceeding conveyor belt feed rates.</w:t>
      </w:r>
    </w:p>
    <w:p>
      <w:pPr>
        <w:jc w:val="center"/>
      </w:pPr>
      <w:r>
        <w:rPr>
          <w:rFonts w:ascii="Times New Roman" w:hAnsi="Times New Roman"/>
          <w:b/>
          <w:sz w:val="16"/>
        </w:rPr>
        <w:t>TABLE III. COMPLETE SYSTEM PERFORMANCE SUMMARY</w:t>
      </w:r>
    </w:p>
    <w:tbl>
      <w:tblPr>
        <w:tblStyle w:val="TableGrid"/>
        <w:tblW w:type="auto" w:w="0"/>
        <w:jc w:val="center"/>
        <w:tblLook w:firstColumn="1" w:firstRow="1" w:lastColumn="0" w:lastRow="0" w:noHBand="0" w:noVBand="1" w:val="04A0"/>
      </w:tblPr>
      <w:tblGrid>
        <w:gridCol w:w="5184"/>
        <w:gridCol w:w="5184"/>
      </w:tblGrid>
      <w:tr>
        <w:tc>
          <w:tcPr>
            <w:tcW w:type="dxa" w:w="5184"/>
            <w:shd w:fill="D9E2F3" w:val="clear"/>
          </w:tcPr>
          <w:p>
            <w:pPr>
              <w:jc w:val="left"/>
            </w:pPr>
            <w:r/>
            <w:r>
              <w:rPr>
                <w:rFonts w:ascii="Times New Roman" w:hAnsi="Times New Roman"/>
                <w:b/>
                <w:sz w:val="16"/>
              </w:rPr>
              <w:t>Metric</w:t>
            </w:r>
          </w:p>
        </w:tc>
        <w:tc>
          <w:tcPr>
            <w:tcW w:type="dxa" w:w="5184"/>
            <w:shd w:fill="D9E2F3" w:val="clear"/>
          </w:tcPr>
          <w:p>
            <w:pPr>
              <w:jc w:val="left"/>
            </w:pPr>
            <w:r/>
            <w:r>
              <w:rPr>
                <w:rFonts w:ascii="Times New Roman" w:hAnsi="Times New Roman"/>
                <w:b/>
                <w:sz w:val="16"/>
              </w:rPr>
              <w:t>Value</w:t>
            </w:r>
          </w:p>
        </w:tc>
      </w:tr>
      <w:tr>
        <w:tc>
          <w:tcPr>
            <w:tcW w:type="dxa" w:w="5184"/>
          </w:tcPr>
          <w:p>
            <w:pPr>
              <w:jc w:val="left"/>
            </w:pPr>
            <w:r/>
            <w:r>
              <w:rPr>
                <w:rFonts w:ascii="Times New Roman" w:hAnsi="Times New Roman"/>
                <w:b w:val="0"/>
                <w:sz w:val="16"/>
              </w:rPr>
              <w:t>YOLOv11m Detection (Augmented, 14,648 imgs)</w:t>
            </w:r>
          </w:p>
        </w:tc>
        <w:tc>
          <w:tcPr>
            <w:tcW w:type="dxa" w:w="5184"/>
          </w:tcPr>
          <w:p>
            <w:pPr>
              <w:jc w:val="left"/>
            </w:pPr>
            <w:r/>
            <w:r>
              <w:rPr>
                <w:rFonts w:ascii="Times New Roman" w:hAnsi="Times New Roman"/>
                <w:b w:val="0"/>
                <w:sz w:val="16"/>
              </w:rPr>
              <w:t>Training in progress (upgraded from YOLOv11s)</w:t>
            </w:r>
          </w:p>
        </w:tc>
      </w:tr>
      <w:tr>
        <w:tc>
          <w:tcPr>
            <w:tcW w:type="dxa" w:w="5184"/>
          </w:tcPr>
          <w:p>
            <w:pPr>
              <w:jc w:val="left"/>
            </w:pPr>
            <w:r/>
            <w:r>
              <w:rPr>
                <w:rFonts w:ascii="Times New Roman" w:hAnsi="Times New Roman"/>
                <w:b w:val="0"/>
                <w:sz w:val="16"/>
              </w:rPr>
              <w:t>YOLOv11s-cls Top-1 Accuracy</w:t>
            </w:r>
          </w:p>
        </w:tc>
        <w:tc>
          <w:tcPr>
            <w:tcW w:type="dxa" w:w="5184"/>
          </w:tcPr>
          <w:p>
            <w:pPr>
              <w:jc w:val="left"/>
            </w:pPr>
            <w:r/>
            <w:r>
              <w:rPr>
                <w:rFonts w:ascii="Times New Roman" w:hAnsi="Times New Roman"/>
                <w:b w:val="0"/>
                <w:sz w:val="16"/>
              </w:rPr>
              <w:t>95.7%</w:t>
            </w:r>
          </w:p>
        </w:tc>
      </w:tr>
      <w:tr>
        <w:tc>
          <w:tcPr>
            <w:tcW w:type="dxa" w:w="5184"/>
          </w:tcPr>
          <w:p>
            <w:pPr>
              <w:jc w:val="left"/>
            </w:pPr>
            <w:r/>
            <w:r>
              <w:rPr>
                <w:rFonts w:ascii="Times New Roman" w:hAnsi="Times New Roman"/>
                <w:b w:val="0"/>
                <w:sz w:val="16"/>
              </w:rPr>
              <w:t>YOLOv11s-cls Top-5 Accuracy</w:t>
            </w:r>
          </w:p>
        </w:tc>
        <w:tc>
          <w:tcPr>
            <w:tcW w:type="dxa" w:w="5184"/>
          </w:tcPr>
          <w:p>
            <w:pPr>
              <w:jc w:val="left"/>
            </w:pPr>
            <w:r/>
            <w:r>
              <w:rPr>
                <w:rFonts w:ascii="Times New Roman" w:hAnsi="Times New Roman"/>
                <w:b w:val="0"/>
                <w:sz w:val="16"/>
              </w:rPr>
              <w:t>99.7%</w:t>
            </w:r>
          </w:p>
        </w:tc>
      </w:tr>
      <w:tr>
        <w:tc>
          <w:tcPr>
            <w:tcW w:type="dxa" w:w="5184"/>
          </w:tcPr>
          <w:p>
            <w:pPr>
              <w:jc w:val="left"/>
            </w:pPr>
            <w:r/>
            <w:r>
              <w:rPr>
                <w:rFonts w:ascii="Times New Roman" w:hAnsi="Times New Roman"/>
                <w:b w:val="0"/>
                <w:sz w:val="16"/>
              </w:rPr>
              <w:t>YOLOv11n-cls Non-Plastic Top-1 Accuracy</w:t>
            </w:r>
          </w:p>
        </w:tc>
        <w:tc>
          <w:tcPr>
            <w:tcW w:type="dxa" w:w="5184"/>
          </w:tcPr>
          <w:p>
            <w:pPr>
              <w:jc w:val="left"/>
            </w:pPr>
            <w:r/>
            <w:r>
              <w:rPr>
                <w:rFonts w:ascii="Times New Roman" w:hAnsi="Times New Roman"/>
                <w:b w:val="0"/>
                <w:sz w:val="16"/>
              </w:rPr>
              <w:t>96.1%</w:t>
            </w:r>
          </w:p>
        </w:tc>
      </w:tr>
      <w:tr>
        <w:tc>
          <w:tcPr>
            <w:tcW w:type="dxa" w:w="5184"/>
          </w:tcPr>
          <w:p>
            <w:pPr>
              <w:jc w:val="left"/>
            </w:pPr>
            <w:r/>
            <w:r>
              <w:rPr>
                <w:rFonts w:ascii="Times New Roman" w:hAnsi="Times New Roman"/>
                <w:b w:val="0"/>
                <w:sz w:val="16"/>
              </w:rPr>
              <w:t>YOLOv11n-cls Non-Plastic Top-5 Accuracy</w:t>
            </w:r>
          </w:p>
        </w:tc>
        <w:tc>
          <w:tcPr>
            <w:tcW w:type="dxa" w:w="5184"/>
          </w:tcPr>
          <w:p>
            <w:pPr>
              <w:jc w:val="left"/>
            </w:pPr>
            <w:r/>
            <w:r>
              <w:rPr>
                <w:rFonts w:ascii="Times New Roman" w:hAnsi="Times New Roman"/>
                <w:b w:val="0"/>
                <w:sz w:val="16"/>
              </w:rPr>
              <w:t>100.0%</w:t>
            </w:r>
          </w:p>
        </w:tc>
      </w:tr>
      <w:tr>
        <w:tc>
          <w:tcPr>
            <w:tcW w:type="dxa" w:w="5184"/>
          </w:tcPr>
          <w:p>
            <w:pPr>
              <w:jc w:val="left"/>
            </w:pPr>
            <w:r/>
            <w:r>
              <w:rPr>
                <w:rFonts w:ascii="Times New Roman" w:hAnsi="Times New Roman"/>
                <w:b w:val="0"/>
                <w:sz w:val="16"/>
              </w:rPr>
              <w:t>Detection Inference Latency (RTX 4050)</w:t>
            </w:r>
          </w:p>
        </w:tc>
        <w:tc>
          <w:tcPr>
            <w:tcW w:type="dxa" w:w="5184"/>
          </w:tcPr>
          <w:p>
            <w:pPr>
              <w:jc w:val="left"/>
            </w:pPr>
            <w:r/>
            <w:r>
              <w:rPr>
                <w:rFonts w:ascii="Times New Roman" w:hAnsi="Times New Roman"/>
                <w:b w:val="0"/>
                <w:sz w:val="16"/>
              </w:rPr>
              <w:t>25.0 ms (~40 FPS)</w:t>
            </w:r>
          </w:p>
        </w:tc>
      </w:tr>
      <w:tr>
        <w:tc>
          <w:tcPr>
            <w:tcW w:type="dxa" w:w="5184"/>
          </w:tcPr>
          <w:p>
            <w:pPr>
              <w:jc w:val="left"/>
            </w:pPr>
            <w:r/>
            <w:r>
              <w:rPr>
                <w:rFonts w:ascii="Times New Roman" w:hAnsi="Times New Roman"/>
                <w:b w:val="0"/>
                <w:sz w:val="16"/>
              </w:rPr>
              <w:t>Classification Inference Latency (RTX 4050)</w:t>
            </w:r>
          </w:p>
        </w:tc>
        <w:tc>
          <w:tcPr>
            <w:tcW w:type="dxa" w:w="5184"/>
          </w:tcPr>
          <w:p>
            <w:pPr>
              <w:jc w:val="left"/>
            </w:pPr>
            <w:r/>
            <w:r>
              <w:rPr>
                <w:rFonts w:ascii="Times New Roman" w:hAnsi="Times New Roman"/>
                <w:b w:val="0"/>
                <w:sz w:val="16"/>
              </w:rPr>
              <w:t>14.1 ms (~71 FPS)</w:t>
            </w:r>
          </w:p>
        </w:tc>
      </w:tr>
      <w:tr>
        <w:tc>
          <w:tcPr>
            <w:tcW w:type="dxa" w:w="5184"/>
          </w:tcPr>
          <w:p>
            <w:pPr>
              <w:jc w:val="left"/>
            </w:pPr>
            <w:r/>
            <w:r>
              <w:rPr>
                <w:rFonts w:ascii="Times New Roman" w:hAnsi="Times New Roman"/>
                <w:b w:val="0"/>
                <w:sz w:val="16"/>
              </w:rPr>
              <w:t>Non-Plastic Classifier Latency (RTX 4050)</w:t>
            </w:r>
          </w:p>
        </w:tc>
        <w:tc>
          <w:tcPr>
            <w:tcW w:type="dxa" w:w="5184"/>
          </w:tcPr>
          <w:p>
            <w:pPr>
              <w:jc w:val="left"/>
            </w:pPr>
            <w:r/>
            <w:r>
              <w:rPr>
                <w:rFonts w:ascii="Times New Roman" w:hAnsi="Times New Roman"/>
                <w:b w:val="0"/>
                <w:sz w:val="16"/>
              </w:rPr>
              <w:t>12.5 ms (~80 FPS)</w:t>
            </w:r>
          </w:p>
        </w:tc>
      </w:tr>
      <w:tr>
        <w:tc>
          <w:tcPr>
            <w:tcW w:type="dxa" w:w="5184"/>
          </w:tcPr>
          <w:p>
            <w:pPr>
              <w:jc w:val="left"/>
            </w:pPr>
            <w:r/>
            <w:r>
              <w:rPr>
                <w:rFonts w:ascii="Times New Roman" w:hAnsi="Times New Roman"/>
                <w:b w:val="0"/>
                <w:sz w:val="16"/>
              </w:rPr>
              <w:t>Est. Per-Object Pipeline Latency</w:t>
            </w:r>
          </w:p>
        </w:tc>
        <w:tc>
          <w:tcPr>
            <w:tcW w:type="dxa" w:w="5184"/>
          </w:tcPr>
          <w:p>
            <w:pPr>
              <w:jc w:val="left"/>
            </w:pPr>
            <w:r/>
            <w:r>
              <w:rPr>
                <w:rFonts w:ascii="Times New Roman" w:hAnsi="Times New Roman"/>
                <w:b w:val="0"/>
                <w:sz w:val="16"/>
              </w:rPr>
              <w:t>39.1 ms (~25.6 obj/s)</w:t>
            </w:r>
          </w:p>
        </w:tc>
      </w:tr>
      <w:tr>
        <w:tc>
          <w:tcPr>
            <w:tcW w:type="dxa" w:w="5184"/>
          </w:tcPr>
          <w:p>
            <w:pPr>
              <w:jc w:val="left"/>
            </w:pPr>
            <w:r/>
            <w:r>
              <w:rPr>
                <w:rFonts w:ascii="Times New Roman" w:hAnsi="Times New Roman"/>
                <w:b w:val="0"/>
                <w:sz w:val="16"/>
              </w:rPr>
              <w:t>Peak GPU VRAM — Detection</w:t>
            </w:r>
          </w:p>
        </w:tc>
        <w:tc>
          <w:tcPr>
            <w:tcW w:type="dxa" w:w="5184"/>
          </w:tcPr>
          <w:p>
            <w:pPr>
              <w:jc w:val="left"/>
            </w:pPr>
            <w:r/>
            <w:r>
              <w:rPr>
                <w:rFonts w:ascii="Times New Roman" w:hAnsi="Times New Roman"/>
                <w:b w:val="0"/>
                <w:sz w:val="16"/>
              </w:rPr>
              <w:t>234.5 MB</w:t>
            </w:r>
          </w:p>
        </w:tc>
      </w:tr>
      <w:tr>
        <w:tc>
          <w:tcPr>
            <w:tcW w:type="dxa" w:w="5184"/>
          </w:tcPr>
          <w:p>
            <w:pPr>
              <w:jc w:val="left"/>
            </w:pPr>
            <w:r/>
            <w:r>
              <w:rPr>
                <w:rFonts w:ascii="Times New Roman" w:hAnsi="Times New Roman"/>
                <w:b w:val="0"/>
                <w:sz w:val="16"/>
              </w:rPr>
              <w:t>Peak GPU VRAM — Classification</w:t>
            </w:r>
          </w:p>
        </w:tc>
        <w:tc>
          <w:tcPr>
            <w:tcW w:type="dxa" w:w="5184"/>
          </w:tcPr>
          <w:p>
            <w:pPr>
              <w:jc w:val="left"/>
            </w:pPr>
            <w:r/>
            <w:r>
              <w:rPr>
                <w:rFonts w:ascii="Times New Roman" w:hAnsi="Times New Roman"/>
                <w:b w:val="0"/>
                <w:sz w:val="16"/>
              </w:rPr>
              <w:t>144.6 MB</w:t>
            </w:r>
          </w:p>
        </w:tc>
      </w:tr>
      <w:tr>
        <w:tc>
          <w:tcPr>
            <w:tcW w:type="dxa" w:w="5184"/>
          </w:tcPr>
          <w:p>
            <w:pPr>
              <w:jc w:val="left"/>
            </w:pPr>
            <w:r/>
            <w:r>
              <w:rPr>
                <w:rFonts w:ascii="Times New Roman" w:hAnsi="Times New Roman"/>
                <w:b w:val="0"/>
                <w:sz w:val="16"/>
              </w:rPr>
              <w:t>Peak GPU VRAM — Non-Plastic Cls</w:t>
            </w:r>
          </w:p>
        </w:tc>
        <w:tc>
          <w:tcPr>
            <w:tcW w:type="dxa" w:w="5184"/>
          </w:tcPr>
          <w:p>
            <w:pPr>
              <w:jc w:val="left"/>
            </w:pPr>
            <w:r/>
            <w:r>
              <w:rPr>
                <w:rFonts w:ascii="Times New Roman" w:hAnsi="Times New Roman"/>
                <w:b w:val="0"/>
                <w:sz w:val="16"/>
              </w:rPr>
              <w:t>138.2 MB</w:t>
            </w:r>
          </w:p>
        </w:tc>
      </w:tr>
      <w:tr>
        <w:tc>
          <w:tcPr>
            <w:tcW w:type="dxa" w:w="5184"/>
          </w:tcPr>
          <w:p>
            <w:pPr>
              <w:jc w:val="left"/>
            </w:pPr>
            <w:r/>
            <w:r>
              <w:rPr>
                <w:rFonts w:ascii="Times New Roman" w:hAnsi="Times New Roman"/>
                <w:b w:val="0"/>
                <w:sz w:val="16"/>
              </w:rPr>
              <w:t>NIR SVM Test Accuracy</w:t>
            </w:r>
          </w:p>
        </w:tc>
        <w:tc>
          <w:tcPr>
            <w:tcW w:type="dxa" w:w="5184"/>
          </w:tcPr>
          <w:p>
            <w:pPr>
              <w:jc w:val="left"/>
            </w:pPr>
            <w:r/>
            <w:r>
              <w:rPr>
                <w:rFonts w:ascii="Times New Roman" w:hAnsi="Times New Roman"/>
                <w:b w:val="0"/>
                <w:sz w:val="16"/>
              </w:rPr>
              <w:t>97.12%</w:t>
            </w:r>
          </w:p>
        </w:tc>
      </w:tr>
      <w:tr>
        <w:tc>
          <w:tcPr>
            <w:tcW w:type="dxa" w:w="5184"/>
          </w:tcPr>
          <w:p>
            <w:pPr>
              <w:jc w:val="left"/>
            </w:pPr>
            <w:r/>
            <w:r>
              <w:rPr>
                <w:rFonts w:ascii="Times New Roman" w:hAnsi="Times New Roman"/>
                <w:b w:val="0"/>
                <w:sz w:val="16"/>
              </w:rPr>
              <w:t>NIR SVM — Standard Plastic (PVC)</w:t>
            </w:r>
          </w:p>
        </w:tc>
        <w:tc>
          <w:tcPr>
            <w:tcW w:type="dxa" w:w="5184"/>
          </w:tcPr>
          <w:p>
            <w:pPr>
              <w:jc w:val="left"/>
            </w:pPr>
            <w:r/>
            <w:r>
              <w:rPr>
                <w:rFonts w:ascii="Times New Roman" w:hAnsi="Times New Roman"/>
                <w:b w:val="0"/>
                <w:sz w:val="16"/>
              </w:rPr>
              <w:t>89.87% confidence — Correct</w:t>
            </w:r>
          </w:p>
        </w:tc>
      </w:tr>
      <w:tr>
        <w:tc>
          <w:tcPr>
            <w:tcW w:type="dxa" w:w="5184"/>
          </w:tcPr>
          <w:p>
            <w:pPr>
              <w:jc w:val="left"/>
            </w:pPr>
            <w:r/>
            <w:r>
              <w:rPr>
                <w:rFonts w:ascii="Times New Roman" w:hAnsi="Times New Roman"/>
                <w:b w:val="0"/>
                <w:sz w:val="16"/>
              </w:rPr>
              <w:t>NIR SVM — Black Plastic (HDPE)</w:t>
            </w:r>
          </w:p>
        </w:tc>
        <w:tc>
          <w:tcPr>
            <w:tcW w:type="dxa" w:w="5184"/>
          </w:tcPr>
          <w:p>
            <w:pPr>
              <w:jc w:val="left"/>
            </w:pPr>
            <w:r/>
            <w:r>
              <w:rPr>
                <w:rFonts w:ascii="Times New Roman" w:hAnsi="Times New Roman"/>
                <w:b w:val="0"/>
                <w:sz w:val="16"/>
              </w:rPr>
              <w:t>15.00% confidence — Fallback Triggered</w:t>
            </w:r>
          </w:p>
        </w:tc>
      </w:tr>
      <w:tr>
        <w:tc>
          <w:tcPr>
            <w:tcW w:type="dxa" w:w="5184"/>
          </w:tcPr>
          <w:p>
            <w:pPr>
              <w:jc w:val="left"/>
            </w:pPr>
            <w:r/>
            <w:r>
              <w:rPr>
                <w:rFonts w:ascii="Times New Roman" w:hAnsi="Times New Roman"/>
                <w:b w:val="0"/>
                <w:sz w:val="16"/>
              </w:rPr>
              <w:t>MIR RF Test Accuracy*</w:t>
            </w:r>
          </w:p>
        </w:tc>
        <w:tc>
          <w:tcPr>
            <w:tcW w:type="dxa" w:w="5184"/>
          </w:tcPr>
          <w:p>
            <w:pPr>
              <w:jc w:val="left"/>
            </w:pPr>
            <w:r/>
            <w:r>
              <w:rPr>
                <w:rFonts w:ascii="Times New Roman" w:hAnsi="Times New Roman"/>
                <w:b w:val="0"/>
                <w:sz w:val="16"/>
              </w:rPr>
              <w:t>100.00% (*see Section IX caveat)</w:t>
            </w:r>
          </w:p>
        </w:tc>
      </w:tr>
      <w:tr>
        <w:tc>
          <w:tcPr>
            <w:tcW w:type="dxa" w:w="5184"/>
          </w:tcPr>
          <w:p>
            <w:pPr>
              <w:jc w:val="left"/>
            </w:pPr>
            <w:r/>
            <w:r>
              <w:rPr>
                <w:rFonts w:ascii="Times New Roman" w:hAnsi="Times New Roman"/>
                <w:b w:val="0"/>
                <w:sz w:val="16"/>
              </w:rPr>
              <w:t>MIR RF Recovery (Black HDPE)</w:t>
            </w:r>
          </w:p>
        </w:tc>
        <w:tc>
          <w:tcPr>
            <w:tcW w:type="dxa" w:w="5184"/>
          </w:tcPr>
          <w:p>
            <w:pPr>
              <w:jc w:val="left"/>
            </w:pPr>
            <w:r/>
            <w:r>
              <w:rPr>
                <w:rFonts w:ascii="Times New Roman" w:hAnsi="Times New Roman"/>
                <w:b w:val="0"/>
                <w:sz w:val="16"/>
              </w:rPr>
              <w:t>99.0% confidence — Correct</w:t>
            </w:r>
          </w:p>
        </w:tc>
      </w:tr>
      <w:tr>
        <w:tc>
          <w:tcPr>
            <w:tcW w:type="dxa" w:w="5184"/>
          </w:tcPr>
          <w:p>
            <w:pPr>
              <w:jc w:val="left"/>
            </w:pPr>
            <w:r/>
            <w:r>
              <w:rPr>
                <w:rFonts w:ascii="Times New Roman" w:hAnsi="Times New Roman"/>
                <w:b w:val="0"/>
                <w:sz w:val="16"/>
              </w:rPr>
              <w:t>YOLOv8-S Stage 1 Accuracy (Conveyor)</w:t>
            </w:r>
          </w:p>
        </w:tc>
        <w:tc>
          <w:tcPr>
            <w:tcW w:type="dxa" w:w="5184"/>
          </w:tcPr>
          <w:p>
            <w:pPr>
              <w:jc w:val="left"/>
            </w:pPr>
            <w:r/>
            <w:r>
              <w:rPr>
                <w:rFonts w:ascii="Times New Roman" w:hAnsi="Times New Roman"/>
                <w:b w:val="0"/>
                <w:sz w:val="16"/>
              </w:rPr>
              <w:t>96.2%</w:t>
            </w:r>
          </w:p>
        </w:tc>
      </w:tr>
      <w:tr>
        <w:tc>
          <w:tcPr>
            <w:tcW w:type="dxa" w:w="5184"/>
          </w:tcPr>
          <w:p>
            <w:pPr>
              <w:jc w:val="left"/>
            </w:pPr>
            <w:r/>
            <w:r>
              <w:rPr>
                <w:rFonts w:ascii="Times New Roman" w:hAnsi="Times New Roman"/>
                <w:b w:val="0"/>
                <w:sz w:val="16"/>
              </w:rPr>
              <w:t>Robotic Arm Diversion Accuracy</w:t>
            </w:r>
          </w:p>
        </w:tc>
        <w:tc>
          <w:tcPr>
            <w:tcW w:type="dxa" w:w="5184"/>
          </w:tcPr>
          <w:p>
            <w:pPr>
              <w:jc w:val="left"/>
            </w:pPr>
            <w:r/>
            <w:r>
              <w:rPr>
                <w:rFonts w:ascii="Times New Roman" w:hAnsi="Times New Roman"/>
                <w:b w:val="0"/>
                <w:sz w:val="16"/>
              </w:rPr>
              <w:t>94.8%</w:t>
            </w:r>
          </w:p>
        </w:tc>
      </w:tr>
      <w:tr>
        <w:tc>
          <w:tcPr>
            <w:tcW w:type="dxa" w:w="5184"/>
          </w:tcPr>
          <w:p>
            <w:pPr>
              <w:jc w:val="left"/>
            </w:pPr>
            <w:r/>
            <w:r>
              <w:rPr>
                <w:rFonts w:ascii="Times New Roman" w:hAnsi="Times New Roman"/>
                <w:b w:val="0"/>
                <w:sz w:val="16"/>
              </w:rPr>
              <w:t>NIR 1D CNN Resin Accuracy</w:t>
            </w:r>
          </w:p>
        </w:tc>
        <w:tc>
          <w:tcPr>
            <w:tcW w:type="dxa" w:w="5184"/>
          </w:tcPr>
          <w:p>
            <w:pPr>
              <w:jc w:val="left"/>
            </w:pPr>
            <w:r/>
            <w:r>
              <w:rPr>
                <w:rFonts w:ascii="Times New Roman" w:hAnsi="Times New Roman"/>
                <w:b w:val="0"/>
                <w:sz w:val="16"/>
              </w:rPr>
              <w:t>91.4%</w:t>
            </w:r>
          </w:p>
        </w:tc>
      </w:tr>
      <w:tr>
        <w:tc>
          <w:tcPr>
            <w:tcW w:type="dxa" w:w="5184"/>
          </w:tcPr>
          <w:p>
            <w:pPr>
              <w:jc w:val="left"/>
            </w:pPr>
            <w:r/>
            <w:r>
              <w:rPr>
                <w:rFonts w:ascii="Times New Roman" w:hAnsi="Times New Roman"/>
                <w:b w:val="0"/>
                <w:sz w:val="16"/>
              </w:rPr>
              <w:t>MIR Fine-Grained Accuracy</w:t>
            </w:r>
          </w:p>
        </w:tc>
        <w:tc>
          <w:tcPr>
            <w:tcW w:type="dxa" w:w="5184"/>
          </w:tcPr>
          <w:p>
            <w:pPr>
              <w:jc w:val="left"/>
            </w:pPr>
            <w:r/>
            <w:r>
              <w:rPr>
                <w:rFonts w:ascii="Times New Roman" w:hAnsi="Times New Roman"/>
                <w:b w:val="0"/>
                <w:sz w:val="16"/>
              </w:rPr>
              <w:t>88.7%</w:t>
            </w:r>
          </w:p>
        </w:tc>
      </w:tr>
      <w:tr>
        <w:tc>
          <w:tcPr>
            <w:tcW w:type="dxa" w:w="5184"/>
          </w:tcPr>
          <w:p>
            <w:pPr>
              <w:jc w:val="left"/>
            </w:pPr>
            <w:r/>
            <w:r>
              <w:rPr>
                <w:rFonts w:ascii="Times New Roman" w:hAnsi="Times New Roman"/>
                <w:b w:val="0"/>
                <w:sz w:val="16"/>
              </w:rPr>
              <w:t>Overall Sorting Purity</w:t>
            </w:r>
          </w:p>
        </w:tc>
        <w:tc>
          <w:tcPr>
            <w:tcW w:type="dxa" w:w="5184"/>
          </w:tcPr>
          <w:p>
            <w:pPr>
              <w:jc w:val="left"/>
            </w:pPr>
            <w:r/>
            <w:r>
              <w:rPr>
                <w:rFonts w:ascii="Times New Roman" w:hAnsi="Times New Roman"/>
                <w:b w:val="0"/>
                <w:sz w:val="16"/>
              </w:rPr>
              <w:t>89.2%</w:t>
            </w:r>
          </w:p>
        </w:tc>
      </w:tr>
      <w:tr>
        <w:tc>
          <w:tcPr>
            <w:tcW w:type="dxa" w:w="5184"/>
          </w:tcPr>
          <w:p>
            <w:pPr>
              <w:jc w:val="left"/>
            </w:pPr>
            <w:r/>
            <w:r>
              <w:rPr>
                <w:rFonts w:ascii="Times New Roman" w:hAnsi="Times New Roman"/>
                <w:b w:val="0"/>
                <w:sz w:val="16"/>
              </w:rPr>
              <w:t>System Throughput (mixed stream)</w:t>
            </w:r>
          </w:p>
        </w:tc>
        <w:tc>
          <w:tcPr>
            <w:tcW w:type="dxa" w:w="5184"/>
          </w:tcPr>
          <w:p>
            <w:pPr>
              <w:jc w:val="left"/>
            </w:pPr>
            <w:r/>
            <w:r>
              <w:rPr>
                <w:rFonts w:ascii="Times New Roman" w:hAnsi="Times New Roman"/>
                <w:b w:val="0"/>
                <w:sz w:val="16"/>
              </w:rPr>
              <w:t>18 items/minute</w:t>
            </w:r>
          </w:p>
        </w:tc>
      </w:tr>
      <w:tr>
        <w:tc>
          <w:tcPr>
            <w:tcW w:type="dxa" w:w="5184"/>
          </w:tcPr>
          <w:p>
            <w:pPr>
              <w:jc w:val="left"/>
            </w:pPr>
            <w:r/>
            <w:r>
              <w:rPr>
                <w:rFonts w:ascii="Times New Roman" w:hAnsi="Times New Roman"/>
                <w:b w:val="0"/>
                <w:sz w:val="16"/>
              </w:rPr>
              <w:t>System Throughput (plastic-only)</w:t>
            </w:r>
          </w:p>
        </w:tc>
        <w:tc>
          <w:tcPr>
            <w:tcW w:type="dxa" w:w="5184"/>
          </w:tcPr>
          <w:p>
            <w:pPr>
              <w:jc w:val="left"/>
            </w:pPr>
            <w:r/>
            <w:r>
              <w:rPr>
                <w:rFonts w:ascii="Times New Roman" w:hAnsi="Times New Roman"/>
                <w:b w:val="0"/>
                <w:sz w:val="16"/>
              </w:rPr>
              <w:t>26 items/minute</w:t>
            </w:r>
          </w:p>
        </w:tc>
      </w:tr>
    </w:tbl>
    <w:p>
      <w:pPr>
        <w:jc w:val="center"/>
      </w:pPr>
      <w:r>
        <w:rPr>
          <w:rFonts w:ascii="Times New Roman" w:hAnsi="Times New Roman"/>
          <w:b/>
          <w:sz w:val="16"/>
        </w:rPr>
        <w:t>TABLE VIII. EDGE DEPLOYMENT BENCHMARK (NVIDIA RTX 4050 LAPTOP GPU, 6 GB VRAM)</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2F3" w:val="clear"/>
          </w:tcPr>
          <w:p>
            <w:pPr>
              <w:jc w:val="left"/>
            </w:pPr>
            <w:r/>
            <w:r>
              <w:rPr>
                <w:rFonts w:ascii="Times New Roman" w:hAnsi="Times New Roman"/>
                <w:b/>
                <w:sz w:val="16"/>
              </w:rPr>
              <w:t>Model</w:t>
            </w:r>
          </w:p>
        </w:tc>
        <w:tc>
          <w:tcPr>
            <w:tcW w:type="dxa" w:w="2074"/>
            <w:shd w:fill="D9E2F3" w:val="clear"/>
          </w:tcPr>
          <w:p>
            <w:pPr>
              <w:jc w:val="left"/>
            </w:pPr>
            <w:r/>
            <w:r>
              <w:rPr>
                <w:rFonts w:ascii="Times New Roman" w:hAnsi="Times New Roman"/>
                <w:b/>
                <w:sz w:val="16"/>
              </w:rPr>
              <w:t>Median Latency (ms)</w:t>
            </w:r>
          </w:p>
        </w:tc>
        <w:tc>
          <w:tcPr>
            <w:tcW w:type="dxa" w:w="2074"/>
            <w:shd w:fill="D9E2F3" w:val="clear"/>
          </w:tcPr>
          <w:p>
            <w:pPr>
              <w:jc w:val="left"/>
            </w:pPr>
            <w:r/>
            <w:r>
              <w:rPr>
                <w:rFonts w:ascii="Times New Roman" w:hAnsi="Times New Roman"/>
                <w:b/>
                <w:sz w:val="16"/>
              </w:rPr>
              <w:t>P95 Latency (ms)</w:t>
            </w:r>
          </w:p>
        </w:tc>
        <w:tc>
          <w:tcPr>
            <w:tcW w:type="dxa" w:w="2074"/>
            <w:shd w:fill="D9E2F3" w:val="clear"/>
          </w:tcPr>
          <w:p>
            <w:pPr>
              <w:jc w:val="left"/>
            </w:pPr>
            <w:r/>
            <w:r>
              <w:rPr>
                <w:rFonts w:ascii="Times New Roman" w:hAnsi="Times New Roman"/>
                <w:b/>
                <w:sz w:val="16"/>
              </w:rPr>
              <w:t>FPS</w:t>
            </w:r>
          </w:p>
        </w:tc>
        <w:tc>
          <w:tcPr>
            <w:tcW w:type="dxa" w:w="2074"/>
            <w:shd w:fill="D9E2F3" w:val="clear"/>
          </w:tcPr>
          <w:p>
            <w:pPr>
              <w:jc w:val="left"/>
            </w:pPr>
            <w:r/>
            <w:r>
              <w:rPr>
                <w:rFonts w:ascii="Times New Roman" w:hAnsi="Times New Roman"/>
                <w:b/>
                <w:sz w:val="16"/>
              </w:rPr>
              <w:t>Peak VRAM (MB)</w:t>
            </w:r>
          </w:p>
        </w:tc>
      </w:tr>
      <w:tr>
        <w:tc>
          <w:tcPr>
            <w:tcW w:type="dxa" w:w="2074"/>
          </w:tcPr>
          <w:p>
            <w:pPr>
              <w:jc w:val="left"/>
            </w:pPr>
            <w:r/>
            <w:r>
              <w:rPr>
                <w:rFonts w:ascii="Times New Roman" w:hAnsi="Times New Roman"/>
                <w:b w:val="0"/>
                <w:sz w:val="16"/>
              </w:rPr>
              <w:t>YOLOv11m Detection</w:t>
            </w:r>
          </w:p>
        </w:tc>
        <w:tc>
          <w:tcPr>
            <w:tcW w:type="dxa" w:w="2074"/>
          </w:tcPr>
          <w:p>
            <w:pPr>
              <w:jc w:val="left"/>
            </w:pPr>
            <w:r/>
            <w:r>
              <w:rPr>
                <w:rFonts w:ascii="Times New Roman" w:hAnsi="Times New Roman"/>
                <w:b w:val="0"/>
                <w:sz w:val="16"/>
              </w:rPr>
              <w:t>25.0</w:t>
            </w:r>
          </w:p>
        </w:tc>
        <w:tc>
          <w:tcPr>
            <w:tcW w:type="dxa" w:w="2074"/>
          </w:tcPr>
          <w:p>
            <w:pPr>
              <w:jc w:val="left"/>
            </w:pPr>
            <w:r/>
            <w:r>
              <w:rPr>
                <w:rFonts w:ascii="Times New Roman" w:hAnsi="Times New Roman"/>
                <w:b w:val="0"/>
                <w:sz w:val="16"/>
              </w:rPr>
              <w:t>31.1</w:t>
            </w:r>
          </w:p>
        </w:tc>
        <w:tc>
          <w:tcPr>
            <w:tcW w:type="dxa" w:w="2074"/>
          </w:tcPr>
          <w:p>
            <w:pPr>
              <w:jc w:val="left"/>
            </w:pPr>
            <w:r/>
            <w:r>
              <w:rPr>
                <w:rFonts w:ascii="Times New Roman" w:hAnsi="Times New Roman"/>
                <w:b w:val="0"/>
                <w:sz w:val="16"/>
              </w:rPr>
              <w:t>40.1</w:t>
            </w:r>
          </w:p>
        </w:tc>
        <w:tc>
          <w:tcPr>
            <w:tcW w:type="dxa" w:w="2074"/>
          </w:tcPr>
          <w:p>
            <w:pPr>
              <w:jc w:val="left"/>
            </w:pPr>
            <w:r/>
            <w:r>
              <w:rPr>
                <w:rFonts w:ascii="Times New Roman" w:hAnsi="Times New Roman"/>
                <w:b w:val="0"/>
                <w:sz w:val="16"/>
              </w:rPr>
              <w:t>234.5</w:t>
            </w:r>
          </w:p>
        </w:tc>
      </w:tr>
      <w:tr>
        <w:tc>
          <w:tcPr>
            <w:tcW w:type="dxa" w:w="2074"/>
          </w:tcPr>
          <w:p>
            <w:pPr>
              <w:jc w:val="left"/>
            </w:pPr>
            <w:r/>
            <w:r>
              <w:rPr>
                <w:rFonts w:ascii="Times New Roman" w:hAnsi="Times New Roman"/>
                <w:b w:val="0"/>
                <w:sz w:val="16"/>
              </w:rPr>
              <w:t>YOLOv11s-cls (10-class)</w:t>
            </w:r>
          </w:p>
        </w:tc>
        <w:tc>
          <w:tcPr>
            <w:tcW w:type="dxa" w:w="2074"/>
          </w:tcPr>
          <w:p>
            <w:pPr>
              <w:jc w:val="left"/>
            </w:pPr>
            <w:r/>
            <w:r>
              <w:rPr>
                <w:rFonts w:ascii="Times New Roman" w:hAnsi="Times New Roman"/>
                <w:b w:val="0"/>
                <w:sz w:val="16"/>
              </w:rPr>
              <w:t>14.1</w:t>
            </w:r>
          </w:p>
        </w:tc>
        <w:tc>
          <w:tcPr>
            <w:tcW w:type="dxa" w:w="2074"/>
          </w:tcPr>
          <w:p>
            <w:pPr>
              <w:jc w:val="left"/>
            </w:pPr>
            <w:r/>
            <w:r>
              <w:rPr>
                <w:rFonts w:ascii="Times New Roman" w:hAnsi="Times New Roman"/>
                <w:b w:val="0"/>
                <w:sz w:val="16"/>
              </w:rPr>
              <w:t>16.2</w:t>
            </w:r>
          </w:p>
        </w:tc>
        <w:tc>
          <w:tcPr>
            <w:tcW w:type="dxa" w:w="2074"/>
          </w:tcPr>
          <w:p>
            <w:pPr>
              <w:jc w:val="left"/>
            </w:pPr>
            <w:r/>
            <w:r>
              <w:rPr>
                <w:rFonts w:ascii="Times New Roman" w:hAnsi="Times New Roman"/>
                <w:b w:val="0"/>
                <w:sz w:val="16"/>
              </w:rPr>
              <w:t>70.7</w:t>
            </w:r>
          </w:p>
        </w:tc>
        <w:tc>
          <w:tcPr>
            <w:tcW w:type="dxa" w:w="2074"/>
          </w:tcPr>
          <w:p>
            <w:pPr>
              <w:jc w:val="left"/>
            </w:pPr>
            <w:r/>
            <w:r>
              <w:rPr>
                <w:rFonts w:ascii="Times New Roman" w:hAnsi="Times New Roman"/>
                <w:b w:val="0"/>
                <w:sz w:val="16"/>
              </w:rPr>
              <w:t>144.6</w:t>
            </w:r>
          </w:p>
        </w:tc>
      </w:tr>
      <w:tr>
        <w:tc>
          <w:tcPr>
            <w:tcW w:type="dxa" w:w="2074"/>
          </w:tcPr>
          <w:p>
            <w:pPr>
              <w:jc w:val="left"/>
            </w:pPr>
            <w:r/>
            <w:r>
              <w:rPr>
                <w:rFonts w:ascii="Times New Roman" w:hAnsi="Times New Roman"/>
                <w:b w:val="0"/>
                <w:sz w:val="16"/>
              </w:rPr>
              <w:t>YOLOv11n-cls (5-bin Non-Plastic)</w:t>
            </w:r>
          </w:p>
        </w:tc>
        <w:tc>
          <w:tcPr>
            <w:tcW w:type="dxa" w:w="2074"/>
          </w:tcPr>
          <w:p>
            <w:pPr>
              <w:jc w:val="left"/>
            </w:pPr>
            <w:r/>
            <w:r>
              <w:rPr>
                <w:rFonts w:ascii="Times New Roman" w:hAnsi="Times New Roman"/>
                <w:b w:val="0"/>
                <w:sz w:val="16"/>
              </w:rPr>
              <w:t>12.5</w:t>
            </w:r>
          </w:p>
        </w:tc>
        <w:tc>
          <w:tcPr>
            <w:tcW w:type="dxa" w:w="2074"/>
          </w:tcPr>
          <w:p>
            <w:pPr>
              <w:jc w:val="left"/>
            </w:pPr>
            <w:r/>
            <w:r>
              <w:rPr>
                <w:rFonts w:ascii="Times New Roman" w:hAnsi="Times New Roman"/>
                <w:b w:val="0"/>
                <w:sz w:val="16"/>
              </w:rPr>
              <w:t>14.0</w:t>
            </w:r>
          </w:p>
        </w:tc>
        <w:tc>
          <w:tcPr>
            <w:tcW w:type="dxa" w:w="2074"/>
          </w:tcPr>
          <w:p>
            <w:pPr>
              <w:jc w:val="left"/>
            </w:pPr>
            <w:r/>
            <w:r>
              <w:rPr>
                <w:rFonts w:ascii="Times New Roman" w:hAnsi="Times New Roman"/>
                <w:b w:val="0"/>
                <w:sz w:val="16"/>
              </w:rPr>
              <w:t>80.2</w:t>
            </w:r>
          </w:p>
        </w:tc>
        <w:tc>
          <w:tcPr>
            <w:tcW w:type="dxa" w:w="2074"/>
          </w:tcPr>
          <w:p>
            <w:pPr>
              <w:jc w:val="left"/>
            </w:pPr>
            <w:r/>
            <w:r>
              <w:rPr>
                <w:rFonts w:ascii="Times New Roman" w:hAnsi="Times New Roman"/>
                <w:b w:val="0"/>
                <w:sz w:val="16"/>
              </w:rPr>
              <w:t>138.2</w:t>
            </w:r>
          </w:p>
        </w:tc>
      </w:tr>
    </w:tbl>
    <w:p>
      <w:pPr>
        <w:jc w:val="both"/>
      </w:pPr>
      <w:r>
        <w:rPr>
          <w:rFonts w:ascii="Times New Roman" w:hAnsi="Times New Roman"/>
          <w:sz w:val="20"/>
        </w:rPr>
        <w:t>Note: Jetson AGX Orin and Raspberry Pi 5 benchmarks are planned for future work. All measurements include preprocessing, inference, and postprocessing (NMS). ONNX and TensorRT exports are available for optimized edge deployment.</w:t>
      </w:r>
    </w:p>
    <w:p>
      <w:pPr>
        <w:jc w:val="center"/>
      </w:pPr>
      <w:r>
        <w:rPr>
          <w:rFonts w:ascii="Times New Roman" w:hAnsi="Times New Roman"/>
          <w:b/>
          <w:sz w:val="16"/>
        </w:rPr>
        <w:t>TABLE IX. NON-PLASTIC CLASSIFIER CONFUSION MATRIX (YOLOv11n-cls, NORMALIZED)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2F3" w:val="clear"/>
          </w:tcPr>
          <w:p>
            <w:pPr>
              <w:jc w:val="left"/>
            </w:pPr>
            <w:r/>
            <w:r>
              <w:rPr>
                <w:rFonts w:ascii="Times New Roman" w:hAnsi="Times New Roman"/>
                <w:b/>
                <w:sz w:val="16"/>
              </w:rPr>
              <w:t>True \ Pred</w:t>
            </w:r>
          </w:p>
        </w:tc>
        <w:tc>
          <w:tcPr>
            <w:tcW w:type="dxa" w:w="1728"/>
            <w:shd w:fill="D9E2F3" w:val="clear"/>
          </w:tcPr>
          <w:p>
            <w:pPr>
              <w:jc w:val="left"/>
            </w:pPr>
            <w:r/>
            <w:r>
              <w:rPr>
                <w:rFonts w:ascii="Times New Roman" w:hAnsi="Times New Roman"/>
                <w:b/>
                <w:sz w:val="16"/>
              </w:rPr>
              <w:t>Glass</w:t>
            </w:r>
          </w:p>
        </w:tc>
        <w:tc>
          <w:tcPr>
            <w:tcW w:type="dxa" w:w="1728"/>
            <w:shd w:fill="D9E2F3" w:val="clear"/>
          </w:tcPr>
          <w:p>
            <w:pPr>
              <w:jc w:val="left"/>
            </w:pPr>
            <w:r/>
            <w:r>
              <w:rPr>
                <w:rFonts w:ascii="Times New Roman" w:hAnsi="Times New Roman"/>
                <w:b/>
                <w:sz w:val="16"/>
              </w:rPr>
              <w:t>Metal</w:t>
            </w:r>
          </w:p>
        </w:tc>
        <w:tc>
          <w:tcPr>
            <w:tcW w:type="dxa" w:w="1728"/>
            <w:shd w:fill="D9E2F3" w:val="clear"/>
          </w:tcPr>
          <w:p>
            <w:pPr>
              <w:jc w:val="left"/>
            </w:pPr>
            <w:r/>
            <w:r>
              <w:rPr>
                <w:rFonts w:ascii="Times New Roman" w:hAnsi="Times New Roman"/>
                <w:b/>
                <w:sz w:val="16"/>
              </w:rPr>
              <w:t>Organic</w:t>
            </w:r>
          </w:p>
        </w:tc>
        <w:tc>
          <w:tcPr>
            <w:tcW w:type="dxa" w:w="1728"/>
            <w:shd w:fill="D9E2F3" w:val="clear"/>
          </w:tcPr>
          <w:p>
            <w:pPr>
              <w:jc w:val="left"/>
            </w:pPr>
            <w:r/>
            <w:r>
              <w:rPr>
                <w:rFonts w:ascii="Times New Roman" w:hAnsi="Times New Roman"/>
                <w:b/>
                <w:sz w:val="16"/>
              </w:rPr>
              <w:t>Other</w:t>
            </w:r>
          </w:p>
        </w:tc>
        <w:tc>
          <w:tcPr>
            <w:tcW w:type="dxa" w:w="1728"/>
            <w:shd w:fill="D9E2F3" w:val="clear"/>
          </w:tcPr>
          <w:p>
            <w:pPr>
              <w:jc w:val="left"/>
            </w:pPr>
            <w:r/>
            <w:r>
              <w:rPr>
                <w:rFonts w:ascii="Times New Roman" w:hAnsi="Times New Roman"/>
                <w:b/>
                <w:sz w:val="16"/>
              </w:rPr>
              <w:t>Paper</w:t>
            </w:r>
          </w:p>
        </w:tc>
      </w:tr>
      <w:tr>
        <w:tc>
          <w:tcPr>
            <w:tcW w:type="dxa" w:w="1728"/>
          </w:tcPr>
          <w:p>
            <w:pPr>
              <w:jc w:val="left"/>
            </w:pPr>
            <w:r/>
            <w:r>
              <w:rPr>
                <w:rFonts w:ascii="Times New Roman" w:hAnsi="Times New Roman"/>
                <w:b w:val="0"/>
                <w:sz w:val="16"/>
              </w:rPr>
              <w:t>Glass</w:t>
            </w:r>
          </w:p>
        </w:tc>
        <w:tc>
          <w:tcPr>
            <w:tcW w:type="dxa" w:w="1728"/>
          </w:tcPr>
          <w:p>
            <w:pPr>
              <w:jc w:val="left"/>
            </w:pPr>
            <w:r/>
            <w:r>
              <w:rPr>
                <w:rFonts w:ascii="Times New Roman" w:hAnsi="Times New Roman"/>
                <w:b w:val="0"/>
                <w:sz w:val="16"/>
              </w:rPr>
              <w:t>0.94</w:t>
            </w:r>
          </w:p>
        </w:tc>
        <w:tc>
          <w:tcPr>
            <w:tcW w:type="dxa" w:w="1728"/>
          </w:tcPr>
          <w:p>
            <w:pPr>
              <w:jc w:val="left"/>
            </w:pPr>
            <w:r/>
            <w:r>
              <w:rPr>
                <w:rFonts w:ascii="Times New Roman" w:hAnsi="Times New Roman"/>
                <w:b w:val="0"/>
                <w:sz w:val="16"/>
              </w:rPr>
              <w:t>0.02</w:t>
            </w:r>
          </w:p>
        </w:tc>
        <w:tc>
          <w:tcPr>
            <w:tcW w:type="dxa" w:w="1728"/>
          </w:tcPr>
          <w:p>
            <w:pPr>
              <w:jc w:val="left"/>
            </w:pPr>
            <w:r/>
            <w:r>
              <w:rPr>
                <w:rFonts w:ascii="Times New Roman" w:hAnsi="Times New Roman"/>
                <w:b w:val="0"/>
                <w:sz w:val="16"/>
              </w:rPr>
              <w:t>0.01</w:t>
            </w:r>
          </w:p>
        </w:tc>
        <w:tc>
          <w:tcPr>
            <w:tcW w:type="dxa" w:w="1728"/>
          </w:tcPr>
          <w:p>
            <w:pPr>
              <w:jc w:val="left"/>
            </w:pPr>
            <w:r/>
            <w:r>
              <w:rPr>
                <w:rFonts w:ascii="Times New Roman" w:hAnsi="Times New Roman"/>
                <w:b w:val="0"/>
                <w:sz w:val="16"/>
              </w:rPr>
              <w:t>0.02</w:t>
            </w:r>
          </w:p>
        </w:tc>
        <w:tc>
          <w:tcPr>
            <w:tcW w:type="dxa" w:w="1728"/>
          </w:tcPr>
          <w:p>
            <w:pPr>
              <w:jc w:val="left"/>
            </w:pPr>
            <w:r/>
            <w:r>
              <w:rPr>
                <w:rFonts w:ascii="Times New Roman" w:hAnsi="Times New Roman"/>
                <w:b w:val="0"/>
                <w:sz w:val="16"/>
              </w:rPr>
              <w:t>0.01</w:t>
            </w:r>
          </w:p>
        </w:tc>
      </w:tr>
      <w:tr>
        <w:tc>
          <w:tcPr>
            <w:tcW w:type="dxa" w:w="1728"/>
          </w:tcPr>
          <w:p>
            <w:pPr>
              <w:jc w:val="left"/>
            </w:pPr>
            <w:r/>
            <w:r>
              <w:rPr>
                <w:rFonts w:ascii="Times New Roman" w:hAnsi="Times New Roman"/>
                <w:b w:val="0"/>
                <w:sz w:val="16"/>
              </w:rPr>
              <w:t>Metal</w:t>
            </w:r>
          </w:p>
        </w:tc>
        <w:tc>
          <w:tcPr>
            <w:tcW w:type="dxa" w:w="1728"/>
          </w:tcPr>
          <w:p>
            <w:pPr>
              <w:jc w:val="left"/>
            </w:pPr>
            <w:r/>
            <w:r>
              <w:rPr>
                <w:rFonts w:ascii="Times New Roman" w:hAnsi="Times New Roman"/>
                <w:b w:val="0"/>
                <w:sz w:val="16"/>
              </w:rPr>
              <w:t>0.03</w:t>
            </w:r>
          </w:p>
        </w:tc>
        <w:tc>
          <w:tcPr>
            <w:tcW w:type="dxa" w:w="1728"/>
          </w:tcPr>
          <w:p>
            <w:pPr>
              <w:jc w:val="left"/>
            </w:pPr>
            <w:r/>
            <w:r>
              <w:rPr>
                <w:rFonts w:ascii="Times New Roman" w:hAnsi="Times New Roman"/>
                <w:b w:val="0"/>
                <w:sz w:val="16"/>
              </w:rPr>
              <w:t>0.92</w:t>
            </w:r>
          </w:p>
        </w:tc>
        <w:tc>
          <w:tcPr>
            <w:tcW w:type="dxa" w:w="1728"/>
          </w:tcPr>
          <w:p>
            <w:pPr>
              <w:jc w:val="left"/>
            </w:pPr>
            <w:r/>
            <w:r>
              <w:rPr>
                <w:rFonts w:ascii="Times New Roman" w:hAnsi="Times New Roman"/>
                <w:b w:val="0"/>
                <w:sz w:val="16"/>
              </w:rPr>
            </w:r>
          </w:p>
        </w:tc>
        <w:tc>
          <w:tcPr>
            <w:tcW w:type="dxa" w:w="1728"/>
          </w:tcPr>
          <w:p>
            <w:pPr>
              <w:jc w:val="left"/>
            </w:pPr>
            <w:r/>
            <w:r>
              <w:rPr>
                <w:rFonts w:ascii="Times New Roman" w:hAnsi="Times New Roman"/>
                <w:b w:val="0"/>
                <w:sz w:val="16"/>
              </w:rPr>
              <w:t>0.04</w:t>
            </w:r>
          </w:p>
        </w:tc>
        <w:tc>
          <w:tcPr>
            <w:tcW w:type="dxa" w:w="1728"/>
          </w:tcPr>
          <w:p>
            <w:pPr>
              <w:jc w:val="left"/>
            </w:pPr>
            <w:r/>
            <w:r>
              <w:rPr>
                <w:rFonts w:ascii="Times New Roman" w:hAnsi="Times New Roman"/>
                <w:b w:val="0"/>
                <w:sz w:val="16"/>
              </w:rPr>
              <w:t>0.01</w:t>
            </w:r>
          </w:p>
        </w:tc>
      </w:tr>
      <w:tr>
        <w:tc>
          <w:tcPr>
            <w:tcW w:type="dxa" w:w="1728"/>
          </w:tcPr>
          <w:p>
            <w:pPr>
              <w:jc w:val="left"/>
            </w:pPr>
            <w:r/>
            <w:r>
              <w:rPr>
                <w:rFonts w:ascii="Times New Roman" w:hAnsi="Times New Roman"/>
                <w:b w:val="0"/>
                <w:sz w:val="16"/>
              </w:rPr>
              <w:t>Organic</w:t>
            </w:r>
          </w:p>
        </w:tc>
        <w:tc>
          <w:tcPr>
            <w:tcW w:type="dxa" w:w="1728"/>
          </w:tcPr>
          <w:p>
            <w:pPr>
              <w:jc w:val="left"/>
            </w:pPr>
            <w:r/>
            <w:r>
              <w:rPr>
                <w:rFonts w:ascii="Times New Roman" w:hAnsi="Times New Roman"/>
                <w:b w:val="0"/>
                <w:sz w:val="16"/>
              </w:rPr>
            </w:r>
          </w:p>
        </w:tc>
        <w:tc>
          <w:tcPr>
            <w:tcW w:type="dxa" w:w="1728"/>
          </w:tcPr>
          <w:p>
            <w:pPr>
              <w:jc w:val="left"/>
            </w:pPr>
            <w:r/>
            <w:r>
              <w:rPr>
                <w:rFonts w:ascii="Times New Roman" w:hAnsi="Times New Roman"/>
                <w:b w:val="0"/>
                <w:sz w:val="16"/>
              </w:rPr>
              <w:t>0.01</w:t>
            </w:r>
          </w:p>
        </w:tc>
        <w:tc>
          <w:tcPr>
            <w:tcW w:type="dxa" w:w="1728"/>
          </w:tcPr>
          <w:p>
            <w:pPr>
              <w:jc w:val="left"/>
            </w:pPr>
            <w:r/>
            <w:r>
              <w:rPr>
                <w:rFonts w:ascii="Times New Roman" w:hAnsi="Times New Roman"/>
                <w:b w:val="0"/>
                <w:sz w:val="16"/>
              </w:rPr>
              <w:t>0.95</w:t>
            </w:r>
          </w:p>
        </w:tc>
        <w:tc>
          <w:tcPr>
            <w:tcW w:type="dxa" w:w="1728"/>
          </w:tcPr>
          <w:p>
            <w:pPr>
              <w:jc w:val="left"/>
            </w:pPr>
            <w:r/>
            <w:r>
              <w:rPr>
                <w:rFonts w:ascii="Times New Roman" w:hAnsi="Times New Roman"/>
                <w:b w:val="0"/>
                <w:sz w:val="16"/>
              </w:rPr>
              <w:t>0.04</w:t>
            </w:r>
          </w:p>
        </w:tc>
        <w:tc>
          <w:tcPr>
            <w:tcW w:type="dxa" w:w="1728"/>
          </w:tcPr>
          <w:p>
            <w:pPr>
              <w:jc w:val="left"/>
            </w:pPr>
            <w:r/>
            <w:r>
              <w:rPr>
                <w:rFonts w:ascii="Times New Roman" w:hAnsi="Times New Roman"/>
                <w:b w:val="0"/>
                <w:sz w:val="16"/>
              </w:rPr>
            </w:r>
          </w:p>
        </w:tc>
      </w:tr>
      <w:tr>
        <w:tc>
          <w:tcPr>
            <w:tcW w:type="dxa" w:w="1728"/>
          </w:tcPr>
          <w:p>
            <w:pPr>
              <w:jc w:val="left"/>
            </w:pPr>
            <w:r/>
            <w:r>
              <w:rPr>
                <w:rFonts w:ascii="Times New Roman" w:hAnsi="Times New Roman"/>
                <w:b w:val="0"/>
                <w:sz w:val="16"/>
              </w:rPr>
              <w:t>Other</w:t>
            </w:r>
          </w:p>
        </w:tc>
        <w:tc>
          <w:tcPr>
            <w:tcW w:type="dxa" w:w="1728"/>
          </w:tcPr>
          <w:p>
            <w:pPr>
              <w:jc w:val="left"/>
            </w:pPr>
            <w:r/>
            <w:r>
              <w:rPr>
                <w:rFonts w:ascii="Times New Roman" w:hAnsi="Times New Roman"/>
                <w:b w:val="0"/>
                <w:sz w:val="16"/>
              </w:rPr>
            </w:r>
          </w:p>
        </w:tc>
        <w:tc>
          <w:tcPr>
            <w:tcW w:type="dxa" w:w="1728"/>
          </w:tcPr>
          <w:p>
            <w:pPr>
              <w:jc w:val="left"/>
            </w:pPr>
            <w:r/>
            <w:r>
              <w:rPr>
                <w:rFonts w:ascii="Times New Roman" w:hAnsi="Times New Roman"/>
                <w:b w:val="0"/>
                <w:sz w:val="16"/>
              </w:rPr>
              <w:t>0.01</w:t>
            </w:r>
          </w:p>
        </w:tc>
        <w:tc>
          <w:tcPr>
            <w:tcW w:type="dxa" w:w="1728"/>
          </w:tcPr>
          <w:p>
            <w:pPr>
              <w:jc w:val="left"/>
            </w:pPr>
            <w:r/>
            <w:r>
              <w:rPr>
                <w:rFonts w:ascii="Times New Roman" w:hAnsi="Times New Roman"/>
                <w:b w:val="0"/>
                <w:sz w:val="16"/>
              </w:rPr>
            </w:r>
          </w:p>
        </w:tc>
        <w:tc>
          <w:tcPr>
            <w:tcW w:type="dxa" w:w="1728"/>
          </w:tcPr>
          <w:p>
            <w:pPr>
              <w:jc w:val="left"/>
            </w:pPr>
            <w:r/>
            <w:r>
              <w:rPr>
                <w:rFonts w:ascii="Times New Roman" w:hAnsi="Times New Roman"/>
                <w:b w:val="0"/>
                <w:sz w:val="16"/>
              </w:rPr>
              <w:t>0.98</w:t>
            </w:r>
          </w:p>
        </w:tc>
        <w:tc>
          <w:tcPr>
            <w:tcW w:type="dxa" w:w="1728"/>
          </w:tcPr>
          <w:p>
            <w:pPr>
              <w:jc w:val="left"/>
            </w:pPr>
            <w:r/>
            <w:r>
              <w:rPr>
                <w:rFonts w:ascii="Times New Roman" w:hAnsi="Times New Roman"/>
                <w:b w:val="0"/>
                <w:sz w:val="16"/>
              </w:rPr>
              <w:t>0.01</w:t>
            </w:r>
          </w:p>
        </w:tc>
      </w:tr>
      <w:tr>
        <w:tc>
          <w:tcPr>
            <w:tcW w:type="dxa" w:w="1728"/>
          </w:tcPr>
          <w:p>
            <w:pPr>
              <w:jc w:val="left"/>
            </w:pPr>
            <w:r/>
            <w:r>
              <w:rPr>
                <w:rFonts w:ascii="Times New Roman" w:hAnsi="Times New Roman"/>
                <w:b w:val="0"/>
                <w:sz w:val="16"/>
              </w:rPr>
              <w:t>Paper</w:t>
            </w:r>
          </w:p>
        </w:tc>
        <w:tc>
          <w:tcPr>
            <w:tcW w:type="dxa" w:w="1728"/>
          </w:tcPr>
          <w:p>
            <w:pPr>
              <w:jc w:val="left"/>
            </w:pPr>
            <w:r/>
            <w:r>
              <w:rPr>
                <w:rFonts w:ascii="Times New Roman" w:hAnsi="Times New Roman"/>
                <w:b w:val="0"/>
                <w:sz w:val="16"/>
              </w:rPr>
            </w:r>
          </w:p>
        </w:tc>
        <w:tc>
          <w:tcPr>
            <w:tcW w:type="dxa" w:w="1728"/>
          </w:tcPr>
          <w:p>
            <w:pPr>
              <w:jc w:val="left"/>
            </w:pPr>
            <w:r/>
            <w:r>
              <w:rPr>
                <w:rFonts w:ascii="Times New Roman" w:hAnsi="Times New Roman"/>
                <w:b w:val="0"/>
                <w:sz w:val="16"/>
              </w:rPr>
              <w:t>0.01</w:t>
            </w:r>
          </w:p>
        </w:tc>
        <w:tc>
          <w:tcPr>
            <w:tcW w:type="dxa" w:w="1728"/>
          </w:tcPr>
          <w:p>
            <w:pPr>
              <w:jc w:val="left"/>
            </w:pPr>
            <w:r/>
            <w:r>
              <w:rPr>
                <w:rFonts w:ascii="Times New Roman" w:hAnsi="Times New Roman"/>
                <w:b w:val="0"/>
                <w:sz w:val="16"/>
              </w:rPr>
            </w:r>
          </w:p>
        </w:tc>
        <w:tc>
          <w:tcPr>
            <w:tcW w:type="dxa" w:w="1728"/>
          </w:tcPr>
          <w:p>
            <w:pPr>
              <w:jc w:val="left"/>
            </w:pPr>
            <w:r/>
            <w:r>
              <w:rPr>
                <w:rFonts w:ascii="Times New Roman" w:hAnsi="Times New Roman"/>
                <w:b w:val="0"/>
                <w:sz w:val="16"/>
              </w:rPr>
              <w:t>0.05</w:t>
            </w:r>
          </w:p>
        </w:tc>
        <w:tc>
          <w:tcPr>
            <w:tcW w:type="dxa" w:w="1728"/>
          </w:tcPr>
          <w:p>
            <w:pPr>
              <w:jc w:val="left"/>
            </w:pPr>
            <w:r/>
            <w:r>
              <w:rPr>
                <w:rFonts w:ascii="Times New Roman" w:hAnsi="Times New Roman"/>
                <w:b w:val="0"/>
                <w:sz w:val="16"/>
              </w:rPr>
              <w:t>0.94</w:t>
            </w:r>
          </w:p>
        </w:tc>
      </w:tr>
    </w:tbl>
    <w:p>
      <w:pPr>
        <w:jc w:val="center"/>
      </w:pPr>
      <w:r>
        <w:rPr>
          <w:rFonts w:ascii="Times New Roman" w:hAnsi="Times New Roman"/>
          <w:b/>
          <w:sz w:val="16"/>
        </w:rPr>
        <w:t>TABLE XI. ADAPTIVE CONFIDENCE ENGINE (ACE) vs FIXED THRESHOLD COMPARISON (5,000 TEST SAMPLES)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2F3" w:val="clear"/>
          </w:tcPr>
          <w:p>
            <w:pPr>
              <w:jc w:val="left"/>
            </w:pPr>
            <w:r/>
            <w:r>
              <w:rPr>
                <w:rFonts w:ascii="Times New Roman" w:hAnsi="Times New Roman"/>
                <w:b/>
                <w:sz w:val="16"/>
              </w:rPr>
              <w:t>Metric</w:t>
            </w:r>
          </w:p>
        </w:tc>
        <w:tc>
          <w:tcPr>
            <w:tcW w:type="dxa" w:w="2592"/>
            <w:shd w:fill="D9E2F3" w:val="clear"/>
          </w:tcPr>
          <w:p>
            <w:pPr>
              <w:jc w:val="left"/>
            </w:pPr>
            <w:r/>
            <w:r>
              <w:rPr>
                <w:rFonts w:ascii="Times New Roman" w:hAnsi="Times New Roman"/>
                <w:b/>
                <w:sz w:val="16"/>
              </w:rPr>
              <w:t>Fixed (0.85)</w:t>
            </w:r>
          </w:p>
        </w:tc>
        <w:tc>
          <w:tcPr>
            <w:tcW w:type="dxa" w:w="2592"/>
            <w:shd w:fill="D9E2F3" w:val="clear"/>
          </w:tcPr>
          <w:p>
            <w:pPr>
              <w:jc w:val="left"/>
            </w:pPr>
            <w:r/>
            <w:r>
              <w:rPr>
                <w:rFonts w:ascii="Times New Roman" w:hAnsi="Times New Roman"/>
                <w:b/>
                <w:sz w:val="16"/>
              </w:rPr>
              <w:t>ACE (Adaptive)</w:t>
            </w:r>
          </w:p>
        </w:tc>
        <w:tc>
          <w:tcPr>
            <w:tcW w:type="dxa" w:w="2592"/>
            <w:shd w:fill="D9E2F3" w:val="clear"/>
          </w:tcPr>
          <w:p>
            <w:pPr>
              <w:jc w:val="left"/>
            </w:pPr>
            <w:r/>
            <w:r>
              <w:rPr>
                <w:rFonts w:ascii="Times New Roman" w:hAnsi="Times New Roman"/>
                <w:b/>
                <w:sz w:val="16"/>
              </w:rPr>
              <w:t>Improvement</w:t>
            </w:r>
          </w:p>
        </w:tc>
      </w:tr>
      <w:tr>
        <w:tc>
          <w:tcPr>
            <w:tcW w:type="dxa" w:w="2592"/>
          </w:tcPr>
          <w:p>
            <w:pPr>
              <w:jc w:val="left"/>
            </w:pPr>
            <w:r/>
            <w:r>
              <w:rPr>
                <w:rFonts w:ascii="Times New Roman" w:hAnsi="Times New Roman"/>
                <w:b w:val="0"/>
                <w:sz w:val="16"/>
              </w:rPr>
              <w:t>Sorting Accuracy</w:t>
            </w:r>
          </w:p>
        </w:tc>
        <w:tc>
          <w:tcPr>
            <w:tcW w:type="dxa" w:w="2592"/>
          </w:tcPr>
          <w:p>
            <w:pPr>
              <w:jc w:val="left"/>
            </w:pPr>
            <w:r/>
            <w:r>
              <w:rPr>
                <w:rFonts w:ascii="Times New Roman" w:hAnsi="Times New Roman"/>
                <w:b w:val="0"/>
                <w:sz w:val="16"/>
              </w:rPr>
              <w:t>100.0%</w:t>
            </w:r>
          </w:p>
        </w:tc>
        <w:tc>
          <w:tcPr>
            <w:tcW w:type="dxa" w:w="2592"/>
          </w:tcPr>
          <w:p>
            <w:pPr>
              <w:jc w:val="left"/>
            </w:pPr>
            <w:r/>
            <w:r>
              <w:rPr>
                <w:rFonts w:ascii="Times New Roman" w:hAnsi="Times New Roman"/>
                <w:b w:val="0"/>
                <w:sz w:val="16"/>
              </w:rPr>
              <w:t>100.0%</w:t>
            </w:r>
          </w:p>
        </w:tc>
        <w:tc>
          <w:tcPr>
            <w:tcW w:type="dxa" w:w="2592"/>
          </w:tcPr>
          <w:p>
            <w:pPr>
              <w:jc w:val="left"/>
            </w:pPr>
            <w:r/>
            <w:r>
              <w:rPr>
                <w:rFonts w:ascii="Times New Roman" w:hAnsi="Times New Roman"/>
                <w:b w:val="0"/>
                <w:sz w:val="16"/>
              </w:rPr>
              <w:t>0.0% (no loss)</w:t>
            </w:r>
          </w:p>
        </w:tc>
      </w:tr>
      <w:tr>
        <w:tc>
          <w:tcPr>
            <w:tcW w:type="dxa" w:w="2592"/>
          </w:tcPr>
          <w:p>
            <w:pPr>
              <w:jc w:val="left"/>
            </w:pPr>
            <w:r/>
            <w:r>
              <w:rPr>
                <w:rFonts w:ascii="Times New Roman" w:hAnsi="Times New Roman"/>
                <w:b w:val="0"/>
                <w:sz w:val="16"/>
              </w:rPr>
              <w:t>MIR Activation Rate</w:t>
            </w:r>
          </w:p>
        </w:tc>
        <w:tc>
          <w:tcPr>
            <w:tcW w:type="dxa" w:w="2592"/>
          </w:tcPr>
          <w:p>
            <w:pPr>
              <w:jc w:val="left"/>
            </w:pPr>
            <w:r/>
            <w:r>
              <w:rPr>
                <w:rFonts w:ascii="Times New Roman" w:hAnsi="Times New Roman"/>
                <w:b w:val="0"/>
                <w:sz w:val="16"/>
              </w:rPr>
              <w:t>69.2%</w:t>
            </w:r>
          </w:p>
        </w:tc>
        <w:tc>
          <w:tcPr>
            <w:tcW w:type="dxa" w:w="2592"/>
          </w:tcPr>
          <w:p>
            <w:pPr>
              <w:jc w:val="left"/>
            </w:pPr>
            <w:r/>
            <w:r>
              <w:rPr>
                <w:rFonts w:ascii="Times New Roman" w:hAnsi="Times New Roman"/>
                <w:b w:val="0"/>
                <w:sz w:val="16"/>
              </w:rPr>
              <w:t>37.6%</w:t>
            </w:r>
          </w:p>
        </w:tc>
        <w:tc>
          <w:tcPr>
            <w:tcW w:type="dxa" w:w="2592"/>
          </w:tcPr>
          <w:p>
            <w:pPr>
              <w:jc w:val="left"/>
            </w:pPr>
            <w:r/>
            <w:r>
              <w:rPr>
                <w:rFonts w:ascii="Times New Roman" w:hAnsi="Times New Roman"/>
                <w:b w:val="0"/>
                <w:sz w:val="16"/>
              </w:rPr>
              <w:t>↓ 31.6%</w:t>
            </w:r>
          </w:p>
        </w:tc>
      </w:tr>
      <w:tr>
        <w:tc>
          <w:tcPr>
            <w:tcW w:type="dxa" w:w="2592"/>
          </w:tcPr>
          <w:p>
            <w:pPr>
              <w:jc w:val="left"/>
            </w:pPr>
            <w:r/>
            <w:r>
              <w:rPr>
                <w:rFonts w:ascii="Times New Roman" w:hAnsi="Times New Roman"/>
                <w:b w:val="0"/>
                <w:sz w:val="16"/>
              </w:rPr>
              <w:t>False Escalations</w:t>
            </w:r>
          </w:p>
        </w:tc>
        <w:tc>
          <w:tcPr>
            <w:tcW w:type="dxa" w:w="2592"/>
          </w:tcPr>
          <w:p>
            <w:pPr>
              <w:jc w:val="left"/>
            </w:pPr>
            <w:r/>
            <w:r>
              <w:rPr>
                <w:rFonts w:ascii="Times New Roman" w:hAnsi="Times New Roman"/>
                <w:b w:val="0"/>
                <w:sz w:val="16"/>
              </w:rPr>
              <w:t>50.1%</w:t>
            </w:r>
          </w:p>
        </w:tc>
        <w:tc>
          <w:tcPr>
            <w:tcW w:type="dxa" w:w="2592"/>
          </w:tcPr>
          <w:p>
            <w:pPr>
              <w:jc w:val="left"/>
            </w:pPr>
            <w:r/>
            <w:r>
              <w:rPr>
                <w:rFonts w:ascii="Times New Roman" w:hAnsi="Times New Roman"/>
                <w:b w:val="0"/>
                <w:sz w:val="16"/>
              </w:rPr>
              <w:t>18.5%</w:t>
            </w:r>
          </w:p>
        </w:tc>
        <w:tc>
          <w:tcPr>
            <w:tcW w:type="dxa" w:w="2592"/>
          </w:tcPr>
          <w:p>
            <w:pPr>
              <w:jc w:val="left"/>
            </w:pPr>
            <w:r/>
            <w:r>
              <w:rPr>
                <w:rFonts w:ascii="Times New Roman" w:hAnsi="Times New Roman"/>
                <w:b w:val="0"/>
                <w:sz w:val="16"/>
              </w:rPr>
              <w:t>↓ 31.6%</w:t>
            </w:r>
          </w:p>
        </w:tc>
      </w:tr>
      <w:tr>
        <w:tc>
          <w:tcPr>
            <w:tcW w:type="dxa" w:w="2592"/>
          </w:tcPr>
          <w:p>
            <w:pPr>
              <w:jc w:val="left"/>
            </w:pPr>
            <w:r/>
            <w:r>
              <w:rPr>
                <w:rFonts w:ascii="Times New Roman" w:hAnsi="Times New Roman"/>
                <w:b w:val="0"/>
                <w:sz w:val="16"/>
              </w:rPr>
              <w:t>Missed Escalations</w:t>
            </w:r>
          </w:p>
        </w:tc>
        <w:tc>
          <w:tcPr>
            <w:tcW w:type="dxa" w:w="2592"/>
          </w:tcPr>
          <w:p>
            <w:pPr>
              <w:jc w:val="left"/>
            </w:pPr>
            <w:r/>
            <w:r>
              <w:rPr>
                <w:rFonts w:ascii="Times New Roman" w:hAnsi="Times New Roman"/>
                <w:b w:val="0"/>
                <w:sz w:val="16"/>
              </w:rPr>
              <w:t>0.0%</w:t>
            </w:r>
          </w:p>
        </w:tc>
        <w:tc>
          <w:tcPr>
            <w:tcW w:type="dxa" w:w="2592"/>
          </w:tcPr>
          <w:p>
            <w:pPr>
              <w:jc w:val="left"/>
            </w:pPr>
            <w:r/>
            <w:r>
              <w:rPr>
                <w:rFonts w:ascii="Times New Roman" w:hAnsi="Times New Roman"/>
                <w:b w:val="0"/>
                <w:sz w:val="16"/>
              </w:rPr>
              <w:t>0.0%</w:t>
            </w:r>
          </w:p>
        </w:tc>
        <w:tc>
          <w:tcPr>
            <w:tcW w:type="dxa" w:w="2592"/>
          </w:tcPr>
          <w:p>
            <w:pPr>
              <w:jc w:val="left"/>
            </w:pPr>
            <w:r/>
            <w:r>
              <w:rPr>
                <w:rFonts w:ascii="Times New Roman" w:hAnsi="Times New Roman"/>
                <w:b w:val="0"/>
                <w:sz w:val="16"/>
              </w:rPr>
              <w:t>0.0% (none)</w:t>
            </w:r>
          </w:p>
        </w:tc>
      </w:tr>
      <w:tr>
        <w:tc>
          <w:tcPr>
            <w:tcW w:type="dxa" w:w="2592"/>
          </w:tcPr>
          <w:p>
            <w:pPr>
              <w:jc w:val="left"/>
            </w:pPr>
            <w:r/>
            <w:r>
              <w:rPr>
                <w:rFonts w:ascii="Times New Roman" w:hAnsi="Times New Roman"/>
                <w:b w:val="0"/>
                <w:sz w:val="16"/>
              </w:rPr>
              <w:t>Energy Cost (proxy)</w:t>
            </w:r>
          </w:p>
        </w:tc>
        <w:tc>
          <w:tcPr>
            <w:tcW w:type="dxa" w:w="2592"/>
          </w:tcPr>
          <w:p>
            <w:pPr>
              <w:jc w:val="left"/>
            </w:pPr>
            <w:r/>
            <w:r>
              <w:rPr>
                <w:rFonts w:ascii="Times New Roman" w:hAnsi="Times New Roman"/>
                <w:b w:val="0"/>
                <w:sz w:val="16"/>
              </w:rPr>
              <w:t>10,383</w:t>
            </w:r>
          </w:p>
        </w:tc>
        <w:tc>
          <w:tcPr>
            <w:tcW w:type="dxa" w:w="2592"/>
          </w:tcPr>
          <w:p>
            <w:pPr>
              <w:jc w:val="left"/>
            </w:pPr>
            <w:r/>
            <w:r>
              <w:rPr>
                <w:rFonts w:ascii="Times New Roman" w:hAnsi="Times New Roman"/>
                <w:b w:val="0"/>
                <w:sz w:val="16"/>
              </w:rPr>
              <w:t>5,643</w:t>
            </w:r>
          </w:p>
        </w:tc>
        <w:tc>
          <w:tcPr>
            <w:tcW w:type="dxa" w:w="2592"/>
          </w:tcPr>
          <w:p>
            <w:pPr>
              <w:jc w:val="left"/>
            </w:pPr>
            <w:r/>
            <w:r>
              <w:rPr>
                <w:rFonts w:ascii="Times New Roman" w:hAnsi="Times New Roman"/>
                <w:b w:val="0"/>
                <w:sz w:val="16"/>
              </w:rPr>
              <w:t>↓ 45.6%</w:t>
            </w:r>
          </w:p>
        </w:tc>
      </w:tr>
      <w:tr>
        <w:tc>
          <w:tcPr>
            <w:tcW w:type="dxa" w:w="2592"/>
          </w:tcPr>
          <w:p>
            <w:pPr>
              <w:jc w:val="left"/>
            </w:pPr>
            <w:r/>
            <w:r>
              <w:rPr>
                <w:rFonts w:ascii="Times New Roman" w:hAnsi="Times New Roman"/>
                <w:b w:val="0"/>
                <w:sz w:val="16"/>
              </w:rPr>
              <w:t>Throughput (items/min)</w:t>
            </w:r>
          </w:p>
        </w:tc>
        <w:tc>
          <w:tcPr>
            <w:tcW w:type="dxa" w:w="2592"/>
          </w:tcPr>
          <w:p>
            <w:pPr>
              <w:jc w:val="left"/>
            </w:pPr>
            <w:r/>
            <w:r>
              <w:rPr>
                <w:rFonts w:ascii="Times New Roman" w:hAnsi="Times New Roman"/>
                <w:b w:val="0"/>
                <w:sz w:val="16"/>
              </w:rPr>
              <w:t>16.3</w:t>
            </w:r>
          </w:p>
        </w:tc>
        <w:tc>
          <w:tcPr>
            <w:tcW w:type="dxa" w:w="2592"/>
          </w:tcPr>
          <w:p>
            <w:pPr>
              <w:jc w:val="left"/>
            </w:pPr>
            <w:r/>
            <w:r>
              <w:rPr>
                <w:rFonts w:ascii="Times New Roman" w:hAnsi="Times New Roman"/>
                <w:b w:val="0"/>
                <w:sz w:val="16"/>
              </w:rPr>
              <w:t>17.0</w:t>
            </w:r>
          </w:p>
        </w:tc>
        <w:tc>
          <w:tcPr>
            <w:tcW w:type="dxa" w:w="2592"/>
          </w:tcPr>
          <w:p>
            <w:pPr>
              <w:jc w:val="left"/>
            </w:pPr>
            <w:r/>
            <w:r>
              <w:rPr>
                <w:rFonts w:ascii="Times New Roman" w:hAnsi="Times New Roman"/>
                <w:b w:val="0"/>
                <w:sz w:val="16"/>
              </w:rPr>
              <w:t>↑ 4.5%</w:t>
            </w:r>
          </w:p>
        </w:tc>
      </w:tr>
      <w:tr>
        <w:tc>
          <w:tcPr>
            <w:tcW w:type="dxa" w:w="2592"/>
          </w:tcPr>
          <w:p>
            <w:pPr>
              <w:jc w:val="left"/>
            </w:pPr>
            <w:r/>
            <w:r>
              <w:rPr>
                <w:rFonts w:ascii="Times New Roman" w:hAnsi="Times New Roman"/>
                <w:b w:val="0"/>
                <w:sz w:val="16"/>
              </w:rPr>
              <w:t>Cost per Item</w:t>
            </w:r>
          </w:p>
        </w:tc>
        <w:tc>
          <w:tcPr>
            <w:tcW w:type="dxa" w:w="2592"/>
          </w:tcPr>
          <w:p>
            <w:pPr>
              <w:jc w:val="left"/>
            </w:pPr>
            <w:r/>
            <w:r>
              <w:rPr>
                <w:rFonts w:ascii="Times New Roman" w:hAnsi="Times New Roman"/>
                <w:b w:val="0"/>
                <w:sz w:val="16"/>
              </w:rPr>
              <w:t>2.08</w:t>
            </w:r>
          </w:p>
        </w:tc>
        <w:tc>
          <w:tcPr>
            <w:tcW w:type="dxa" w:w="2592"/>
          </w:tcPr>
          <w:p>
            <w:pPr>
              <w:jc w:val="left"/>
            </w:pPr>
            <w:r/>
            <w:r>
              <w:rPr>
                <w:rFonts w:ascii="Times New Roman" w:hAnsi="Times New Roman"/>
                <w:b w:val="0"/>
                <w:sz w:val="16"/>
              </w:rPr>
              <w:t>1.13</w:t>
            </w:r>
          </w:p>
        </w:tc>
        <w:tc>
          <w:tcPr>
            <w:tcW w:type="dxa" w:w="2592"/>
          </w:tcPr>
          <w:p>
            <w:pPr>
              <w:jc w:val="left"/>
            </w:pPr>
            <w:r/>
            <w:r>
              <w:rPr>
                <w:rFonts w:ascii="Times New Roman" w:hAnsi="Times New Roman"/>
                <w:b w:val="0"/>
                <w:sz w:val="16"/>
              </w:rPr>
              <w:t>↓ 45.7%</w:t>
            </w:r>
          </w:p>
        </w:tc>
      </w:tr>
    </w:tbl>
    <w:p>
      <w:pPr>
        <w:jc w:val="both"/>
      </w:pPr>
      <w:r>
        <w:rPr>
          <w:rFonts w:ascii="Times New Roman" w:hAnsi="Times New Roman"/>
          <w:sz w:val="20"/>
        </w:rPr>
        <w:t>Table XI demonstrates that the Adaptive Confidence Engine maintains identical sorting accuracy (100%) while reducing unnecessary MIR activations by 31.6 percentage points. This translates to a 45.6% reduction in energy consumption and a 4.5% improvement in throughput, as fewer items incur the 0.5-second MIR sensing delay. The ACE achieves zero missed escalations — every item that genuinely required MIR fallback was correctly identified — confirming that the adaptive threshold is strictly superior to the fixed alternative.</w:t>
      </w:r>
    </w:p>
    <w:p>
      <w:pPr>
        <w:jc w:val="left"/>
      </w:pPr>
      <w:r>
        <w:rPr>
          <w:rFonts w:ascii="Times New Roman" w:hAnsi="Times New Roman"/>
          <w:i/>
          <w:sz w:val="20"/>
        </w:rPr>
        <w:t>B. Spectral Sensing Performance</w:t>
      </w:r>
    </w:p>
    <w:p>
      <w:pPr>
        <w:jc w:val="both"/>
      </w:pPr>
      <w:r>
        <w:rPr>
          <w:rFonts w:ascii="Times New Roman" w:hAnsi="Times New Roman"/>
          <w:sz w:val="20"/>
        </w:rPr>
        <w:t>The NIR SVM classifier performed reliably on standard colored plastics: a PVC sample produced 89.87% confidence — comfortably above the 85% threshold — and was correctly classified (Fallback: False). On carbon-black HDPE, the NIR signal was severely attenuated, returning only 15.00% confidence — a 74.87 percentage-point drop that correctly triggered the MIR fallback mechanism. The MIR RF classifier subsequently identified the same black HDPE sample with 99.0% confidence (Status: SUCCESS), demonstrating the complementary spectral coverage of the two sensing modalities in practice.</w:t>
      </w:r>
    </w:p>
    <w:p>
      <w:pPr>
        <w:jc w:val="center"/>
      </w:pPr>
      <w:r>
        <w:rPr>
          <w:rFonts w:ascii="Times New Roman" w:hAnsi="Times New Roman"/>
          <w:b/>
          <w:sz w:val="16"/>
        </w:rPr>
        <w:t>TABLE IV. NIR HYPERSPECTRAL MODEL COMPARISON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2F3" w:val="clear"/>
          </w:tcPr>
          <w:p>
            <w:pPr>
              <w:jc w:val="left"/>
            </w:pPr>
            <w:r/>
            <w:r>
              <w:rPr>
                <w:rFonts w:ascii="Times New Roman" w:hAnsi="Times New Roman"/>
                <w:b/>
                <w:sz w:val="16"/>
              </w:rPr>
              <w:t>Model</w:t>
            </w:r>
          </w:p>
        </w:tc>
        <w:tc>
          <w:tcPr>
            <w:tcW w:type="dxa" w:w="2074"/>
            <w:shd w:fill="D9E2F3" w:val="clear"/>
          </w:tcPr>
          <w:p>
            <w:pPr>
              <w:jc w:val="left"/>
            </w:pPr>
            <w:r/>
            <w:r>
              <w:rPr>
                <w:rFonts w:ascii="Times New Roman" w:hAnsi="Times New Roman"/>
                <w:b/>
                <w:sz w:val="16"/>
              </w:rPr>
              <w:t>Test Accuracy</w:t>
            </w:r>
          </w:p>
        </w:tc>
        <w:tc>
          <w:tcPr>
            <w:tcW w:type="dxa" w:w="2074"/>
            <w:shd w:fill="D9E2F3" w:val="clear"/>
          </w:tcPr>
          <w:p>
            <w:pPr>
              <w:jc w:val="left"/>
            </w:pPr>
            <w:r/>
            <w:r>
              <w:rPr>
                <w:rFonts w:ascii="Times New Roman" w:hAnsi="Times New Roman"/>
                <w:b/>
                <w:sz w:val="16"/>
              </w:rPr>
              <w:t>Precision</w:t>
            </w:r>
          </w:p>
        </w:tc>
        <w:tc>
          <w:tcPr>
            <w:tcW w:type="dxa" w:w="2074"/>
            <w:shd w:fill="D9E2F3" w:val="clear"/>
          </w:tcPr>
          <w:p>
            <w:pPr>
              <w:jc w:val="left"/>
            </w:pPr>
            <w:r/>
            <w:r>
              <w:rPr>
                <w:rFonts w:ascii="Times New Roman" w:hAnsi="Times New Roman"/>
                <w:b/>
                <w:sz w:val="16"/>
              </w:rPr>
              <w:t>Recall</w:t>
            </w:r>
          </w:p>
        </w:tc>
        <w:tc>
          <w:tcPr>
            <w:tcW w:type="dxa" w:w="2074"/>
            <w:shd w:fill="D9E2F3" w:val="clear"/>
          </w:tcPr>
          <w:p>
            <w:pPr>
              <w:jc w:val="left"/>
            </w:pPr>
            <w:r/>
            <w:r>
              <w:rPr>
                <w:rFonts w:ascii="Times New Roman" w:hAnsi="Times New Roman"/>
                <w:b/>
                <w:sz w:val="16"/>
              </w:rPr>
              <w:t>F1-Score</w:t>
            </w:r>
          </w:p>
        </w:tc>
      </w:tr>
      <w:tr>
        <w:tc>
          <w:tcPr>
            <w:tcW w:type="dxa" w:w="2074"/>
          </w:tcPr>
          <w:p>
            <w:pPr>
              <w:jc w:val="left"/>
            </w:pPr>
            <w:r/>
            <w:r>
              <w:rPr>
                <w:rFonts w:ascii="Times New Roman" w:hAnsi="Times New Roman"/>
                <w:b w:val="0"/>
                <w:sz w:val="16"/>
              </w:rPr>
              <w:t>SVM (RBF Kernel)</w:t>
            </w:r>
          </w:p>
        </w:tc>
        <w:tc>
          <w:tcPr>
            <w:tcW w:type="dxa" w:w="2074"/>
          </w:tcPr>
          <w:p>
            <w:pPr>
              <w:jc w:val="left"/>
            </w:pPr>
            <w:r/>
            <w:r>
              <w:rPr>
                <w:rFonts w:ascii="Times New Roman" w:hAnsi="Times New Roman"/>
                <w:b w:val="0"/>
                <w:sz w:val="16"/>
              </w:rPr>
              <w:t>97.12%</w:t>
            </w:r>
          </w:p>
        </w:tc>
        <w:tc>
          <w:tcPr>
            <w:tcW w:type="dxa" w:w="2074"/>
          </w:tcPr>
          <w:p>
            <w:pPr>
              <w:jc w:val="left"/>
            </w:pPr>
            <w:r/>
            <w:r>
              <w:rPr>
                <w:rFonts w:ascii="Times New Roman" w:hAnsi="Times New Roman"/>
                <w:b w:val="0"/>
                <w:sz w:val="16"/>
              </w:rPr>
              <w:t>97.11%</w:t>
            </w:r>
          </w:p>
        </w:tc>
        <w:tc>
          <w:tcPr>
            <w:tcW w:type="dxa" w:w="2074"/>
          </w:tcPr>
          <w:p>
            <w:pPr>
              <w:jc w:val="left"/>
            </w:pPr>
            <w:r/>
            <w:r>
              <w:rPr>
                <w:rFonts w:ascii="Times New Roman" w:hAnsi="Times New Roman"/>
                <w:b w:val="0"/>
                <w:sz w:val="16"/>
              </w:rPr>
              <w:t>97.12%</w:t>
            </w:r>
          </w:p>
        </w:tc>
        <w:tc>
          <w:tcPr>
            <w:tcW w:type="dxa" w:w="2074"/>
          </w:tcPr>
          <w:p>
            <w:pPr>
              <w:jc w:val="left"/>
            </w:pPr>
            <w:r/>
            <w:r>
              <w:rPr>
                <w:rFonts w:ascii="Times New Roman" w:hAnsi="Times New Roman"/>
                <w:b w:val="0"/>
                <w:sz w:val="16"/>
              </w:rPr>
              <w:t>97.11%</w:t>
            </w:r>
          </w:p>
        </w:tc>
      </w:tr>
      <w:tr>
        <w:tc>
          <w:tcPr>
            <w:tcW w:type="dxa" w:w="2074"/>
          </w:tcPr>
          <w:p>
            <w:pPr>
              <w:jc w:val="left"/>
            </w:pPr>
            <w:r/>
            <w:r>
              <w:rPr>
                <w:rFonts w:ascii="Times New Roman" w:hAnsi="Times New Roman"/>
                <w:b w:val="0"/>
                <w:sz w:val="16"/>
              </w:rPr>
              <w:t>XGBoost</w:t>
            </w:r>
          </w:p>
        </w:tc>
        <w:tc>
          <w:tcPr>
            <w:tcW w:type="dxa" w:w="2074"/>
          </w:tcPr>
          <w:p>
            <w:pPr>
              <w:jc w:val="left"/>
            </w:pPr>
            <w:r/>
            <w:r>
              <w:rPr>
                <w:rFonts w:ascii="Times New Roman" w:hAnsi="Times New Roman"/>
                <w:b w:val="0"/>
                <w:sz w:val="16"/>
              </w:rPr>
              <w:t>93.42%</w:t>
            </w:r>
          </w:p>
        </w:tc>
        <w:tc>
          <w:tcPr>
            <w:tcW w:type="dxa" w:w="2074"/>
          </w:tcPr>
          <w:p>
            <w:pPr>
              <w:jc w:val="left"/>
            </w:pPr>
            <w:r/>
            <w:r>
              <w:rPr>
                <w:rFonts w:ascii="Times New Roman" w:hAnsi="Times New Roman"/>
                <w:b w:val="0"/>
                <w:sz w:val="16"/>
              </w:rPr>
              <w:t>93.40%</w:t>
            </w:r>
          </w:p>
        </w:tc>
        <w:tc>
          <w:tcPr>
            <w:tcW w:type="dxa" w:w="2074"/>
          </w:tcPr>
          <w:p>
            <w:pPr>
              <w:jc w:val="left"/>
            </w:pPr>
            <w:r/>
            <w:r>
              <w:rPr>
                <w:rFonts w:ascii="Times New Roman" w:hAnsi="Times New Roman"/>
                <w:b w:val="0"/>
                <w:sz w:val="16"/>
              </w:rPr>
              <w:t>93.42%</w:t>
            </w:r>
          </w:p>
        </w:tc>
        <w:tc>
          <w:tcPr>
            <w:tcW w:type="dxa" w:w="2074"/>
          </w:tcPr>
          <w:p>
            <w:pPr>
              <w:jc w:val="left"/>
            </w:pPr>
            <w:r/>
            <w:r>
              <w:rPr>
                <w:rFonts w:ascii="Times New Roman" w:hAnsi="Times New Roman"/>
                <w:b w:val="0"/>
                <w:sz w:val="16"/>
              </w:rPr>
              <w:t>93.39%</w:t>
            </w:r>
          </w:p>
        </w:tc>
      </w:tr>
      <w:tr>
        <w:tc>
          <w:tcPr>
            <w:tcW w:type="dxa" w:w="2074"/>
          </w:tcPr>
          <w:p>
            <w:pPr>
              <w:jc w:val="left"/>
            </w:pPr>
            <w:r/>
            <w:r>
              <w:rPr>
                <w:rFonts w:ascii="Times New Roman" w:hAnsi="Times New Roman"/>
                <w:b w:val="0"/>
                <w:sz w:val="16"/>
              </w:rPr>
              <w:t>Random Forest</w:t>
            </w:r>
          </w:p>
        </w:tc>
        <w:tc>
          <w:tcPr>
            <w:tcW w:type="dxa" w:w="2074"/>
          </w:tcPr>
          <w:p>
            <w:pPr>
              <w:jc w:val="left"/>
            </w:pPr>
            <w:r/>
            <w:r>
              <w:rPr>
                <w:rFonts w:ascii="Times New Roman" w:hAnsi="Times New Roman"/>
                <w:b w:val="0"/>
                <w:sz w:val="16"/>
              </w:rPr>
              <w:t>91.36%</w:t>
            </w:r>
          </w:p>
        </w:tc>
        <w:tc>
          <w:tcPr>
            <w:tcW w:type="dxa" w:w="2074"/>
          </w:tcPr>
          <w:p>
            <w:pPr>
              <w:jc w:val="left"/>
            </w:pPr>
            <w:r/>
            <w:r>
              <w:rPr>
                <w:rFonts w:ascii="Times New Roman" w:hAnsi="Times New Roman"/>
                <w:b w:val="0"/>
                <w:sz w:val="16"/>
              </w:rPr>
              <w:t>91.45%</w:t>
            </w:r>
          </w:p>
        </w:tc>
        <w:tc>
          <w:tcPr>
            <w:tcW w:type="dxa" w:w="2074"/>
          </w:tcPr>
          <w:p>
            <w:pPr>
              <w:jc w:val="left"/>
            </w:pPr>
            <w:r/>
            <w:r>
              <w:rPr>
                <w:rFonts w:ascii="Times New Roman" w:hAnsi="Times New Roman"/>
                <w:b w:val="0"/>
                <w:sz w:val="16"/>
              </w:rPr>
              <w:t>91.36%</w:t>
            </w:r>
          </w:p>
        </w:tc>
        <w:tc>
          <w:tcPr>
            <w:tcW w:type="dxa" w:w="2074"/>
          </w:tcPr>
          <w:p>
            <w:pPr>
              <w:jc w:val="left"/>
            </w:pPr>
            <w:r/>
            <w:r>
              <w:rPr>
                <w:rFonts w:ascii="Times New Roman" w:hAnsi="Times New Roman"/>
                <w:b w:val="0"/>
                <w:sz w:val="16"/>
              </w:rPr>
              <w:t>91.21%</w:t>
            </w:r>
          </w:p>
        </w:tc>
      </w:tr>
    </w:tbl>
    <w:p>
      <w:pPr>
        <w:jc w:val="center"/>
      </w:pPr>
      <w:r>
        <w:rPr>
          <w:rFonts w:ascii="Times New Roman" w:hAnsi="Times New Roman"/>
          <w:b/>
          <w:sz w:val="16"/>
        </w:rPr>
        <w:t>TABLE V. MIR FTIR MODEL COMPARISON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2F3" w:val="clear"/>
          </w:tcPr>
          <w:p>
            <w:pPr>
              <w:jc w:val="left"/>
            </w:pPr>
            <w:r/>
            <w:r>
              <w:rPr>
                <w:rFonts w:ascii="Times New Roman" w:hAnsi="Times New Roman"/>
                <w:b/>
                <w:sz w:val="16"/>
              </w:rPr>
              <w:t>Model</w:t>
            </w:r>
          </w:p>
        </w:tc>
        <w:tc>
          <w:tcPr>
            <w:tcW w:type="dxa" w:w="2074"/>
            <w:shd w:fill="D9E2F3" w:val="clear"/>
          </w:tcPr>
          <w:p>
            <w:pPr>
              <w:jc w:val="left"/>
            </w:pPr>
            <w:r/>
            <w:r>
              <w:rPr>
                <w:rFonts w:ascii="Times New Roman" w:hAnsi="Times New Roman"/>
                <w:b/>
                <w:sz w:val="16"/>
              </w:rPr>
              <w:t>Test Accuracy</w:t>
            </w:r>
          </w:p>
        </w:tc>
        <w:tc>
          <w:tcPr>
            <w:tcW w:type="dxa" w:w="2074"/>
            <w:shd w:fill="D9E2F3" w:val="clear"/>
          </w:tcPr>
          <w:p>
            <w:pPr>
              <w:jc w:val="left"/>
            </w:pPr>
            <w:r/>
            <w:r>
              <w:rPr>
                <w:rFonts w:ascii="Times New Roman" w:hAnsi="Times New Roman"/>
                <w:b/>
                <w:sz w:val="16"/>
              </w:rPr>
              <w:t>Precision</w:t>
            </w:r>
          </w:p>
        </w:tc>
        <w:tc>
          <w:tcPr>
            <w:tcW w:type="dxa" w:w="2074"/>
            <w:shd w:fill="D9E2F3" w:val="clear"/>
          </w:tcPr>
          <w:p>
            <w:pPr>
              <w:jc w:val="left"/>
            </w:pPr>
            <w:r/>
            <w:r>
              <w:rPr>
                <w:rFonts w:ascii="Times New Roman" w:hAnsi="Times New Roman"/>
                <w:b/>
                <w:sz w:val="16"/>
              </w:rPr>
              <w:t>Recall</w:t>
            </w:r>
          </w:p>
        </w:tc>
        <w:tc>
          <w:tcPr>
            <w:tcW w:type="dxa" w:w="2074"/>
            <w:shd w:fill="D9E2F3" w:val="clear"/>
          </w:tcPr>
          <w:p>
            <w:pPr>
              <w:jc w:val="left"/>
            </w:pPr>
            <w:r/>
            <w:r>
              <w:rPr>
                <w:rFonts w:ascii="Times New Roman" w:hAnsi="Times New Roman"/>
                <w:b/>
                <w:sz w:val="16"/>
              </w:rPr>
              <w:t>F1-Score</w:t>
            </w:r>
          </w:p>
        </w:tc>
      </w:tr>
      <w:tr>
        <w:tc>
          <w:tcPr>
            <w:tcW w:type="dxa" w:w="2074"/>
          </w:tcPr>
          <w:p>
            <w:pPr>
              <w:jc w:val="left"/>
            </w:pPr>
            <w:r/>
            <w:r>
              <w:rPr>
                <w:rFonts w:ascii="Times New Roman" w:hAnsi="Times New Roman"/>
                <w:b w:val="0"/>
                <w:sz w:val="16"/>
              </w:rPr>
              <w:t>Random Forest (Winner)</w:t>
            </w:r>
          </w:p>
        </w:tc>
        <w:tc>
          <w:tcPr>
            <w:tcW w:type="dxa" w:w="2074"/>
          </w:tcPr>
          <w:p>
            <w:pPr>
              <w:jc w:val="left"/>
            </w:pPr>
            <w:r/>
            <w:r>
              <w:rPr>
                <w:rFonts w:ascii="Times New Roman" w:hAnsi="Times New Roman"/>
                <w:b w:val="0"/>
                <w:sz w:val="16"/>
              </w:rPr>
              <w:t>100.00%</w:t>
            </w:r>
          </w:p>
        </w:tc>
        <w:tc>
          <w:tcPr>
            <w:tcW w:type="dxa" w:w="2074"/>
          </w:tcPr>
          <w:p>
            <w:pPr>
              <w:jc w:val="left"/>
            </w:pPr>
            <w:r/>
            <w:r>
              <w:rPr>
                <w:rFonts w:ascii="Times New Roman" w:hAnsi="Times New Roman"/>
                <w:b w:val="0"/>
                <w:sz w:val="16"/>
              </w:rPr>
              <w:t>100.00%</w:t>
            </w:r>
          </w:p>
        </w:tc>
        <w:tc>
          <w:tcPr>
            <w:tcW w:type="dxa" w:w="2074"/>
          </w:tcPr>
          <w:p>
            <w:pPr>
              <w:jc w:val="left"/>
            </w:pPr>
            <w:r/>
            <w:r>
              <w:rPr>
                <w:rFonts w:ascii="Times New Roman" w:hAnsi="Times New Roman"/>
                <w:b w:val="0"/>
                <w:sz w:val="16"/>
              </w:rPr>
              <w:t>100.00%</w:t>
            </w:r>
          </w:p>
        </w:tc>
        <w:tc>
          <w:tcPr>
            <w:tcW w:type="dxa" w:w="2074"/>
          </w:tcPr>
          <w:p>
            <w:pPr>
              <w:jc w:val="left"/>
            </w:pPr>
            <w:r/>
            <w:r>
              <w:rPr>
                <w:rFonts w:ascii="Times New Roman" w:hAnsi="Times New Roman"/>
                <w:b w:val="0"/>
                <w:sz w:val="16"/>
              </w:rPr>
              <w:t>100.00%</w:t>
            </w:r>
          </w:p>
        </w:tc>
      </w:tr>
      <w:tr>
        <w:tc>
          <w:tcPr>
            <w:tcW w:type="dxa" w:w="2074"/>
          </w:tcPr>
          <w:p>
            <w:pPr>
              <w:jc w:val="left"/>
            </w:pPr>
            <w:r/>
            <w:r>
              <w:rPr>
                <w:rFonts w:ascii="Times New Roman" w:hAnsi="Times New Roman"/>
                <w:b w:val="0"/>
                <w:sz w:val="16"/>
              </w:rPr>
              <w:t>SVM (RBF Kernel)</w:t>
            </w:r>
          </w:p>
        </w:tc>
        <w:tc>
          <w:tcPr>
            <w:tcW w:type="dxa" w:w="2074"/>
          </w:tcPr>
          <w:p>
            <w:pPr>
              <w:jc w:val="left"/>
            </w:pPr>
            <w:r/>
            <w:r>
              <w:rPr>
                <w:rFonts w:ascii="Times New Roman" w:hAnsi="Times New Roman"/>
                <w:b w:val="0"/>
                <w:sz w:val="16"/>
              </w:rPr>
              <w:t>100.00%</w:t>
            </w:r>
          </w:p>
        </w:tc>
        <w:tc>
          <w:tcPr>
            <w:tcW w:type="dxa" w:w="2074"/>
          </w:tcPr>
          <w:p>
            <w:pPr>
              <w:jc w:val="left"/>
            </w:pPr>
            <w:r/>
            <w:r>
              <w:rPr>
                <w:rFonts w:ascii="Times New Roman" w:hAnsi="Times New Roman"/>
                <w:b w:val="0"/>
                <w:sz w:val="16"/>
              </w:rPr>
              <w:t>100.00%</w:t>
            </w:r>
          </w:p>
        </w:tc>
        <w:tc>
          <w:tcPr>
            <w:tcW w:type="dxa" w:w="2074"/>
          </w:tcPr>
          <w:p>
            <w:pPr>
              <w:jc w:val="left"/>
            </w:pPr>
            <w:r/>
            <w:r>
              <w:rPr>
                <w:rFonts w:ascii="Times New Roman" w:hAnsi="Times New Roman"/>
                <w:b w:val="0"/>
                <w:sz w:val="16"/>
              </w:rPr>
              <w:t>100.00%</w:t>
            </w:r>
          </w:p>
        </w:tc>
        <w:tc>
          <w:tcPr>
            <w:tcW w:type="dxa" w:w="2074"/>
          </w:tcPr>
          <w:p>
            <w:pPr>
              <w:jc w:val="left"/>
            </w:pPr>
            <w:r/>
            <w:r>
              <w:rPr>
                <w:rFonts w:ascii="Times New Roman" w:hAnsi="Times New Roman"/>
                <w:b w:val="0"/>
                <w:sz w:val="16"/>
              </w:rPr>
              <w:t>100.00%</w:t>
            </w:r>
          </w:p>
        </w:tc>
      </w:tr>
      <w:tr>
        <w:tc>
          <w:tcPr>
            <w:tcW w:type="dxa" w:w="2074"/>
          </w:tcPr>
          <w:p>
            <w:pPr>
              <w:jc w:val="left"/>
            </w:pPr>
            <w:r/>
            <w:r>
              <w:rPr>
                <w:rFonts w:ascii="Times New Roman" w:hAnsi="Times New Roman"/>
                <w:b w:val="0"/>
                <w:sz w:val="16"/>
              </w:rPr>
              <w:t>XGBoost</w:t>
            </w:r>
          </w:p>
        </w:tc>
        <w:tc>
          <w:tcPr>
            <w:tcW w:type="dxa" w:w="2074"/>
          </w:tcPr>
          <w:p>
            <w:pPr>
              <w:jc w:val="left"/>
            </w:pPr>
            <w:r/>
            <w:r>
              <w:rPr>
                <w:rFonts w:ascii="Times New Roman" w:hAnsi="Times New Roman"/>
                <w:b w:val="0"/>
                <w:sz w:val="16"/>
              </w:rPr>
              <w:t>99.75%</w:t>
            </w:r>
          </w:p>
        </w:tc>
        <w:tc>
          <w:tcPr>
            <w:tcW w:type="dxa" w:w="2074"/>
          </w:tcPr>
          <w:p>
            <w:pPr>
              <w:jc w:val="left"/>
            </w:pPr>
            <w:r/>
            <w:r>
              <w:rPr>
                <w:rFonts w:ascii="Times New Roman" w:hAnsi="Times New Roman"/>
                <w:b w:val="0"/>
                <w:sz w:val="16"/>
              </w:rPr>
              <w:t>99.75%</w:t>
            </w:r>
          </w:p>
        </w:tc>
        <w:tc>
          <w:tcPr>
            <w:tcW w:type="dxa" w:w="2074"/>
          </w:tcPr>
          <w:p>
            <w:pPr>
              <w:jc w:val="left"/>
            </w:pPr>
            <w:r/>
            <w:r>
              <w:rPr>
                <w:rFonts w:ascii="Times New Roman" w:hAnsi="Times New Roman"/>
                <w:b w:val="0"/>
                <w:sz w:val="16"/>
              </w:rPr>
              <w:t>99.75%</w:t>
            </w:r>
          </w:p>
        </w:tc>
        <w:tc>
          <w:tcPr>
            <w:tcW w:type="dxa" w:w="2074"/>
          </w:tcPr>
          <w:p>
            <w:pPr>
              <w:jc w:val="left"/>
            </w:pPr>
            <w:r/>
            <w:r>
              <w:rPr>
                <w:rFonts w:ascii="Times New Roman" w:hAnsi="Times New Roman"/>
                <w:b w:val="0"/>
                <w:sz w:val="16"/>
              </w:rPr>
              <w:t>99.75%</w:t>
            </w:r>
          </w:p>
        </w:tc>
      </w:tr>
      <w:tr>
        <w:tc>
          <w:tcPr>
            <w:tcW w:type="dxa" w:w="2074"/>
          </w:tcPr>
          <w:p>
            <w:pPr>
              <w:jc w:val="left"/>
            </w:pPr>
            <w:r/>
            <w:r>
              <w:rPr>
                <w:rFonts w:ascii="Times New Roman" w:hAnsi="Times New Roman"/>
                <w:b w:val="0"/>
                <w:sz w:val="16"/>
              </w:rPr>
              <w:t>1D CNN</w:t>
            </w:r>
          </w:p>
        </w:tc>
        <w:tc>
          <w:tcPr>
            <w:tcW w:type="dxa" w:w="2074"/>
          </w:tcPr>
          <w:p>
            <w:pPr>
              <w:jc w:val="left"/>
            </w:pPr>
            <w:r/>
            <w:r>
              <w:rPr>
                <w:rFonts w:ascii="Times New Roman" w:hAnsi="Times New Roman"/>
                <w:b w:val="0"/>
                <w:sz w:val="16"/>
              </w:rPr>
              <w:t>94.97%</w:t>
            </w:r>
          </w:p>
        </w:tc>
        <w:tc>
          <w:tcPr>
            <w:tcW w:type="dxa" w:w="2074"/>
          </w:tcPr>
          <w:p>
            <w:pPr>
              <w:jc w:val="left"/>
            </w:pPr>
            <w:r/>
            <w:r>
              <w:rPr>
                <w:rFonts w:ascii="Times New Roman" w:hAnsi="Times New Roman"/>
                <w:b w:val="0"/>
                <w:sz w:val="16"/>
              </w:rPr>
              <w:t>95.24%</w:t>
            </w:r>
          </w:p>
        </w:tc>
        <w:tc>
          <w:tcPr>
            <w:tcW w:type="dxa" w:w="2074"/>
          </w:tcPr>
          <w:p>
            <w:pPr>
              <w:jc w:val="left"/>
            </w:pPr>
            <w:r/>
            <w:r>
              <w:rPr>
                <w:rFonts w:ascii="Times New Roman" w:hAnsi="Times New Roman"/>
                <w:b w:val="0"/>
                <w:sz w:val="16"/>
              </w:rPr>
              <w:t>94.97%</w:t>
            </w:r>
          </w:p>
        </w:tc>
        <w:tc>
          <w:tcPr>
            <w:tcW w:type="dxa" w:w="2074"/>
          </w:tcPr>
          <w:p>
            <w:pPr>
              <w:jc w:val="left"/>
            </w:pPr>
            <w:r/>
            <w:r>
              <w:rPr>
                <w:rFonts w:ascii="Times New Roman" w:hAnsi="Times New Roman"/>
                <w:b w:val="0"/>
                <w:sz w:val="16"/>
              </w:rPr>
              <w:t>94.79%</w:t>
            </w:r>
          </w:p>
        </w:tc>
      </w:tr>
      <w:tr>
        <w:tc>
          <w:tcPr>
            <w:tcW w:type="dxa" w:w="2074"/>
          </w:tcPr>
          <w:p>
            <w:pPr>
              <w:jc w:val="left"/>
            </w:pPr>
            <w:r/>
            <w:r>
              <w:rPr>
                <w:rFonts w:ascii="Times New Roman" w:hAnsi="Times New Roman"/>
                <w:b w:val="0"/>
                <w:sz w:val="16"/>
              </w:rPr>
              <w:t>Spectral Transformer</w:t>
            </w:r>
          </w:p>
        </w:tc>
        <w:tc>
          <w:tcPr>
            <w:tcW w:type="dxa" w:w="2074"/>
          </w:tcPr>
          <w:p>
            <w:pPr>
              <w:jc w:val="left"/>
            </w:pPr>
            <w:r/>
            <w:r>
              <w:rPr>
                <w:rFonts w:ascii="Times New Roman" w:hAnsi="Times New Roman"/>
                <w:b w:val="0"/>
                <w:sz w:val="16"/>
              </w:rPr>
              <w:t>92.71%</w:t>
            </w:r>
          </w:p>
        </w:tc>
        <w:tc>
          <w:tcPr>
            <w:tcW w:type="dxa" w:w="2074"/>
          </w:tcPr>
          <w:p>
            <w:pPr>
              <w:jc w:val="left"/>
            </w:pPr>
            <w:r/>
            <w:r>
              <w:rPr>
                <w:rFonts w:ascii="Times New Roman" w:hAnsi="Times New Roman"/>
                <w:b w:val="0"/>
                <w:sz w:val="16"/>
              </w:rPr>
              <w:t>92.82%</w:t>
            </w:r>
          </w:p>
        </w:tc>
        <w:tc>
          <w:tcPr>
            <w:tcW w:type="dxa" w:w="2074"/>
          </w:tcPr>
          <w:p>
            <w:pPr>
              <w:jc w:val="left"/>
            </w:pPr>
            <w:r/>
            <w:r>
              <w:rPr>
                <w:rFonts w:ascii="Times New Roman" w:hAnsi="Times New Roman"/>
                <w:b w:val="0"/>
                <w:sz w:val="16"/>
              </w:rPr>
              <w:t>92.71%</w:t>
            </w:r>
          </w:p>
        </w:tc>
        <w:tc>
          <w:tcPr>
            <w:tcW w:type="dxa" w:w="2074"/>
          </w:tcPr>
          <w:p>
            <w:pPr>
              <w:jc w:val="left"/>
            </w:pPr>
            <w:r/>
            <w:r>
              <w:rPr>
                <w:rFonts w:ascii="Times New Roman" w:hAnsi="Times New Roman"/>
                <w:b w:val="0"/>
                <w:sz w:val="16"/>
              </w:rPr>
              <w:t>92.69%</w:t>
            </w:r>
          </w:p>
        </w:tc>
      </w:tr>
    </w:tbl>
    <w:p>
      <w:pPr>
        <w:jc w:val="left"/>
      </w:pPr>
      <w:r>
        <w:rPr>
          <w:rFonts w:ascii="Times New Roman" w:hAnsi="Times New Roman"/>
          <w:i/>
          <w:sz w:val="20"/>
        </w:rPr>
        <w:t>C. NIR Resin-Type Classification by Polymer</w:t>
      </w:r>
    </w:p>
    <w:p>
      <w:pPr>
        <w:jc w:val="center"/>
      </w:pPr>
      <w:r>
        <w:rPr>
          <w:rFonts w:ascii="Times New Roman" w:hAnsi="Times New Roman"/>
          <w:b/>
          <w:sz w:val="16"/>
        </w:rPr>
        <w:t>TABLE VI. NIR STAGE 3 CLASSIFICATION RESULTS BY RESIN TYPE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2F3" w:val="clear"/>
          </w:tcPr>
          <w:p>
            <w:pPr>
              <w:jc w:val="left"/>
            </w:pPr>
            <w:r/>
            <w:r>
              <w:rPr>
                <w:rFonts w:ascii="Times New Roman" w:hAnsi="Times New Roman"/>
                <w:b/>
                <w:sz w:val="16"/>
              </w:rPr>
              <w:t>Resin Type</w:t>
            </w:r>
          </w:p>
        </w:tc>
        <w:tc>
          <w:tcPr>
            <w:tcW w:type="dxa" w:w="2592"/>
            <w:shd w:fill="D9E2F3" w:val="clear"/>
          </w:tcPr>
          <w:p>
            <w:pPr>
              <w:jc w:val="left"/>
            </w:pPr>
            <w:r/>
            <w:r>
              <w:rPr>
                <w:rFonts w:ascii="Times New Roman" w:hAnsi="Times New Roman"/>
                <w:b/>
                <w:sz w:val="16"/>
              </w:rPr>
              <w:t>F1 Score (%)</w:t>
            </w:r>
          </w:p>
        </w:tc>
        <w:tc>
          <w:tcPr>
            <w:tcW w:type="dxa" w:w="2592"/>
            <w:shd w:fill="D9E2F3" w:val="clear"/>
          </w:tcPr>
          <w:p>
            <w:pPr>
              <w:jc w:val="left"/>
            </w:pPr>
            <w:r/>
            <w:r>
              <w:rPr>
                <w:rFonts w:ascii="Times New Roman" w:hAnsi="Times New Roman"/>
                <w:b/>
                <w:sz w:val="16"/>
              </w:rPr>
              <w:t>Resin Code</w:t>
            </w:r>
          </w:p>
        </w:tc>
        <w:tc>
          <w:tcPr>
            <w:tcW w:type="dxa" w:w="2592"/>
            <w:shd w:fill="D9E2F3" w:val="clear"/>
          </w:tcPr>
          <w:p>
            <w:pPr>
              <w:jc w:val="left"/>
            </w:pPr>
            <w:r/>
            <w:r>
              <w:rPr>
                <w:rFonts w:ascii="Times New Roman" w:hAnsi="Times New Roman"/>
                <w:b/>
                <w:sz w:val="16"/>
              </w:rPr>
              <w:t>Primary Challenge</w:t>
            </w:r>
          </w:p>
        </w:tc>
      </w:tr>
      <w:tr>
        <w:tc>
          <w:tcPr>
            <w:tcW w:type="dxa" w:w="2592"/>
          </w:tcPr>
          <w:p>
            <w:pPr>
              <w:jc w:val="left"/>
            </w:pPr>
            <w:r/>
            <w:r>
              <w:rPr>
                <w:rFonts w:ascii="Times New Roman" w:hAnsi="Times New Roman"/>
                <w:b w:val="0"/>
                <w:sz w:val="16"/>
              </w:rPr>
              <w:t>PET</w:t>
            </w:r>
          </w:p>
        </w:tc>
        <w:tc>
          <w:tcPr>
            <w:tcW w:type="dxa" w:w="2592"/>
          </w:tcPr>
          <w:p>
            <w:pPr>
              <w:jc w:val="left"/>
            </w:pPr>
            <w:r/>
            <w:r>
              <w:rPr>
                <w:rFonts w:ascii="Times New Roman" w:hAnsi="Times New Roman"/>
                <w:b w:val="0"/>
                <w:sz w:val="16"/>
              </w:rPr>
              <w:t>94.2</w:t>
            </w:r>
          </w:p>
        </w:tc>
        <w:tc>
          <w:tcPr>
            <w:tcW w:type="dxa" w:w="2592"/>
          </w:tcPr>
          <w:p>
            <w:pPr>
              <w:jc w:val="left"/>
            </w:pPr>
            <w:r/>
            <w:r>
              <w:rPr>
                <w:rFonts w:ascii="Times New Roman" w:hAnsi="Times New Roman"/>
                <w:b w:val="0"/>
                <w:sz w:val="16"/>
              </w:rPr>
              <w:t>#1</w:t>
            </w:r>
          </w:p>
        </w:tc>
        <w:tc>
          <w:tcPr>
            <w:tcW w:type="dxa" w:w="2592"/>
          </w:tcPr>
          <w:p>
            <w:pPr>
              <w:jc w:val="left"/>
            </w:pPr>
            <w:r/>
            <w:r>
              <w:rPr>
                <w:rFonts w:ascii="Times New Roman" w:hAnsi="Times New Roman"/>
                <w:b w:val="0"/>
                <w:sz w:val="16"/>
              </w:rPr>
              <w:t>Minimal</w:t>
            </w:r>
          </w:p>
        </w:tc>
      </w:tr>
      <w:tr>
        <w:tc>
          <w:tcPr>
            <w:tcW w:type="dxa" w:w="2592"/>
          </w:tcPr>
          <w:p>
            <w:pPr>
              <w:jc w:val="left"/>
            </w:pPr>
            <w:r/>
            <w:r>
              <w:rPr>
                <w:rFonts w:ascii="Times New Roman" w:hAnsi="Times New Roman"/>
                <w:b w:val="0"/>
                <w:sz w:val="16"/>
              </w:rPr>
              <w:t>HDPE</w:t>
            </w:r>
          </w:p>
        </w:tc>
        <w:tc>
          <w:tcPr>
            <w:tcW w:type="dxa" w:w="2592"/>
          </w:tcPr>
          <w:p>
            <w:pPr>
              <w:jc w:val="left"/>
            </w:pPr>
            <w:r/>
            <w:r>
              <w:rPr>
                <w:rFonts w:ascii="Times New Roman" w:hAnsi="Times New Roman"/>
                <w:b w:val="0"/>
                <w:sz w:val="16"/>
              </w:rPr>
              <w:t>92.8</w:t>
            </w:r>
          </w:p>
        </w:tc>
        <w:tc>
          <w:tcPr>
            <w:tcW w:type="dxa" w:w="2592"/>
          </w:tcPr>
          <w:p>
            <w:pPr>
              <w:jc w:val="left"/>
            </w:pPr>
            <w:r/>
            <w:r>
              <w:rPr>
                <w:rFonts w:ascii="Times New Roman" w:hAnsi="Times New Roman"/>
                <w:b w:val="0"/>
                <w:sz w:val="16"/>
              </w:rPr>
              <w:t>#2</w:t>
            </w:r>
          </w:p>
        </w:tc>
        <w:tc>
          <w:tcPr>
            <w:tcW w:type="dxa" w:w="2592"/>
          </w:tcPr>
          <w:p>
            <w:pPr>
              <w:jc w:val="left"/>
            </w:pPr>
            <w:r/>
            <w:r>
              <w:rPr>
                <w:rFonts w:ascii="Times New Roman" w:hAnsi="Times New Roman"/>
                <w:b w:val="0"/>
                <w:sz w:val="16"/>
              </w:rPr>
              <w:t>Colour variability</w:t>
            </w:r>
          </w:p>
        </w:tc>
      </w:tr>
      <w:tr>
        <w:tc>
          <w:tcPr>
            <w:tcW w:type="dxa" w:w="2592"/>
          </w:tcPr>
          <w:p>
            <w:pPr>
              <w:jc w:val="left"/>
            </w:pPr>
            <w:r/>
            <w:r>
              <w:rPr>
                <w:rFonts w:ascii="Times New Roman" w:hAnsi="Times New Roman"/>
                <w:b w:val="0"/>
                <w:sz w:val="16"/>
              </w:rPr>
              <w:t>PVC</w:t>
            </w:r>
          </w:p>
        </w:tc>
        <w:tc>
          <w:tcPr>
            <w:tcW w:type="dxa" w:w="2592"/>
          </w:tcPr>
          <w:p>
            <w:pPr>
              <w:jc w:val="left"/>
            </w:pPr>
            <w:r/>
            <w:r>
              <w:rPr>
                <w:rFonts w:ascii="Times New Roman" w:hAnsi="Times New Roman"/>
                <w:b w:val="0"/>
                <w:sz w:val="16"/>
              </w:rPr>
              <w:t>86.1</w:t>
            </w:r>
          </w:p>
        </w:tc>
        <w:tc>
          <w:tcPr>
            <w:tcW w:type="dxa" w:w="2592"/>
          </w:tcPr>
          <w:p>
            <w:pPr>
              <w:jc w:val="left"/>
            </w:pPr>
            <w:r/>
            <w:r>
              <w:rPr>
                <w:rFonts w:ascii="Times New Roman" w:hAnsi="Times New Roman"/>
                <w:b w:val="0"/>
                <w:sz w:val="16"/>
              </w:rPr>
              <w:t>#3</w:t>
            </w:r>
          </w:p>
        </w:tc>
        <w:tc>
          <w:tcPr>
            <w:tcW w:type="dxa" w:w="2592"/>
          </w:tcPr>
          <w:p>
            <w:pPr>
              <w:jc w:val="left"/>
            </w:pPr>
            <w:r/>
            <w:r>
              <w:rPr>
                <w:rFonts w:ascii="Times New Roman" w:hAnsi="Times New Roman"/>
                <w:b w:val="0"/>
                <w:sz w:val="16"/>
              </w:rPr>
              <w:t>NIR overlap with LDPE</w:t>
            </w:r>
          </w:p>
        </w:tc>
      </w:tr>
      <w:tr>
        <w:tc>
          <w:tcPr>
            <w:tcW w:type="dxa" w:w="2592"/>
          </w:tcPr>
          <w:p>
            <w:pPr>
              <w:jc w:val="left"/>
            </w:pPr>
            <w:r/>
            <w:r>
              <w:rPr>
                <w:rFonts w:ascii="Times New Roman" w:hAnsi="Times New Roman"/>
                <w:b w:val="0"/>
                <w:sz w:val="16"/>
              </w:rPr>
              <w:t>LDPE</w:t>
            </w:r>
          </w:p>
        </w:tc>
        <w:tc>
          <w:tcPr>
            <w:tcW w:type="dxa" w:w="2592"/>
          </w:tcPr>
          <w:p>
            <w:pPr>
              <w:jc w:val="left"/>
            </w:pPr>
            <w:r/>
            <w:r>
              <w:rPr>
                <w:rFonts w:ascii="Times New Roman" w:hAnsi="Times New Roman"/>
                <w:b w:val="0"/>
                <w:sz w:val="16"/>
              </w:rPr>
              <w:t>89.3</w:t>
            </w:r>
          </w:p>
        </w:tc>
        <w:tc>
          <w:tcPr>
            <w:tcW w:type="dxa" w:w="2592"/>
          </w:tcPr>
          <w:p>
            <w:pPr>
              <w:jc w:val="left"/>
            </w:pPr>
            <w:r/>
            <w:r>
              <w:rPr>
                <w:rFonts w:ascii="Times New Roman" w:hAnsi="Times New Roman"/>
                <w:b w:val="0"/>
                <w:sz w:val="16"/>
              </w:rPr>
              <w:t>#4</w:t>
            </w:r>
          </w:p>
        </w:tc>
        <w:tc>
          <w:tcPr>
            <w:tcW w:type="dxa" w:w="2592"/>
          </w:tcPr>
          <w:p>
            <w:pPr>
              <w:jc w:val="left"/>
            </w:pPr>
            <w:r/>
            <w:r>
              <w:rPr>
                <w:rFonts w:ascii="Times New Roman" w:hAnsi="Times New Roman"/>
                <w:b w:val="0"/>
                <w:sz w:val="16"/>
              </w:rPr>
              <w:t>Thin film occlusion</w:t>
            </w:r>
          </w:p>
        </w:tc>
      </w:tr>
      <w:tr>
        <w:tc>
          <w:tcPr>
            <w:tcW w:type="dxa" w:w="2592"/>
          </w:tcPr>
          <w:p>
            <w:pPr>
              <w:jc w:val="left"/>
            </w:pPr>
            <w:r/>
            <w:r>
              <w:rPr>
                <w:rFonts w:ascii="Times New Roman" w:hAnsi="Times New Roman"/>
                <w:b w:val="0"/>
                <w:sz w:val="16"/>
              </w:rPr>
              <w:t>PP</w:t>
            </w:r>
          </w:p>
        </w:tc>
        <w:tc>
          <w:tcPr>
            <w:tcW w:type="dxa" w:w="2592"/>
          </w:tcPr>
          <w:p>
            <w:pPr>
              <w:jc w:val="left"/>
            </w:pPr>
            <w:r/>
            <w:r>
              <w:rPr>
                <w:rFonts w:ascii="Times New Roman" w:hAnsi="Times New Roman"/>
                <w:b w:val="0"/>
                <w:sz w:val="16"/>
              </w:rPr>
              <w:t>93.7</w:t>
            </w:r>
          </w:p>
        </w:tc>
        <w:tc>
          <w:tcPr>
            <w:tcW w:type="dxa" w:w="2592"/>
          </w:tcPr>
          <w:p>
            <w:pPr>
              <w:jc w:val="left"/>
            </w:pPr>
            <w:r/>
            <w:r>
              <w:rPr>
                <w:rFonts w:ascii="Times New Roman" w:hAnsi="Times New Roman"/>
                <w:b w:val="0"/>
                <w:sz w:val="16"/>
              </w:rPr>
              <w:t>#5</w:t>
            </w:r>
          </w:p>
        </w:tc>
        <w:tc>
          <w:tcPr>
            <w:tcW w:type="dxa" w:w="2592"/>
          </w:tcPr>
          <w:p>
            <w:pPr>
              <w:jc w:val="left"/>
            </w:pPr>
            <w:r/>
            <w:r>
              <w:rPr>
                <w:rFonts w:ascii="Times New Roman" w:hAnsi="Times New Roman"/>
                <w:b w:val="0"/>
                <w:sz w:val="16"/>
              </w:rPr>
              <w:t>Minimal</w:t>
            </w:r>
          </w:p>
        </w:tc>
      </w:tr>
    </w:tbl>
    <w:p>
      <w:pPr>
        <w:jc w:val="left"/>
      </w:pPr>
      <w:r>
        <w:rPr>
          <w:rFonts w:ascii="Times New Roman" w:hAnsi="Times New Roman"/>
          <w:i/>
          <w:sz w:val="20"/>
        </w:rPr>
        <w:t>D. Conveyor-Belt System Throughput Analysis</w:t>
      </w:r>
    </w:p>
    <w:p>
      <w:pPr>
        <w:jc w:val="both"/>
      </w:pPr>
      <w:r>
        <w:rPr>
          <w:rFonts w:ascii="Times New Roman" w:hAnsi="Times New Roman"/>
          <w:sz w:val="20"/>
        </w:rPr>
        <w:t>The integrated conveyor-belt pipeline processes 18 items per minute for a mixed waste stream, with throughput rising to 26 items per minute on a plastic-only stream. The primary bottleneck is the robotic arm cycle time of 2.7 seconds per pick. The NIR and MIR stages contribute only 6.4 ms combined latency and are not throughput-limiting at any tested stream composition. Overall sorting purity — the fraction of items in each output bin that are correctly typed — reaches 89.2%, meeting the commercial MRF purity threshold of 85–90% required for resale of recycled material streams.</w:t>
      </w:r>
    </w:p>
    <w:p>
      <w:pPr>
        <w:jc w:val="both"/>
      </w:pPr>
      <w:r>
        <w:rPr>
          <w:rFonts w:ascii="Times New Roman" w:hAnsi="Times New Roman"/>
          <w:sz w:val="20"/>
        </w:rPr>
        <w:t>Processing 18 items per minute at 89.2% purity over an 8-hour operational shift yields approximately 8,640 items sorted per day with fewer than 935 misplaced items — a significant improvement over manual sorting rates of 1,200–2,000 items per shift per worker, with no worker exposure to hazardous materials.</w:t>
      </w:r>
    </w:p>
    <w:p>
      <w:pPr>
        <w:jc w:val="center"/>
      </w:pPr>
      <w:r>
        <w:rPr>
          <w:rFonts w:ascii="Times New Roman" w:hAnsi="Times New Roman"/>
          <w:b/>
          <w:smallCaps/>
          <w:sz w:val="20"/>
        </w:rPr>
        <w:t>VIII. Physical Basis for Spectral Modality Selection</w:t>
      </w:r>
    </w:p>
    <w:p>
      <w:pPr>
        <w:jc w:val="left"/>
      </w:pPr>
      <w:r>
        <w:rPr>
          <w:rFonts w:ascii="Times New Roman" w:hAnsi="Times New Roman"/>
          <w:i/>
          <w:sz w:val="20"/>
        </w:rPr>
        <w:t>A. NIR Spectroscopy: Operating Principles and Polymer Signatures</w:t>
      </w:r>
    </w:p>
    <w:p>
      <w:pPr>
        <w:jc w:val="both"/>
      </w:pPr>
      <w:r>
        <w:rPr>
          <w:rFonts w:ascii="Times New Roman" w:hAnsi="Times New Roman"/>
          <w:sz w:val="20"/>
        </w:rPr>
        <w:t>Near-infrared spectroscopy in the 400–1000 nm range exploits overtone and combination bands of molecular vibrations in polymer chains. PET exhibits characteristic absorption near 960 nm due to CH stretching overtones in the ethylene glycol unit. HDPE and LDPE show strong CH₂ combination bands near 910 nm. PP displays CH₃ rocking vibrations that shift key absorption maxima. PVC's C–Cl bond produces unique absorption in the 900–950 nm region.</w:t>
      </w:r>
    </w:p>
    <w:p>
      <w:pPr>
        <w:jc w:val="both"/>
      </w:pPr>
      <w:r>
        <w:rPr>
          <w:rFonts w:ascii="Times New Roman" w:hAnsi="Times New Roman"/>
          <w:sz w:val="20"/>
        </w:rPr>
        <w:t>The fundamental limitation of NIR arises from the optical properties of carbon black (CB). CB particles are nanoscale graphitic structures (5–50 nm diameter) that absorb electromagnetic radiation across the entire UV, visible, and NIR spectrum. Mean reflectance values below 0.08 are observed for CB concentrations as low as 0.5% by weight. At 2% CB concentration, NIR signal-to-noise ratios drop below the minimum required for reliable SVM classification, producing the characteristic confidence collapse (89.87% → 15.00%).</w:t>
      </w:r>
    </w:p>
    <w:p>
      <w:pPr>
        <w:jc w:val="left"/>
      </w:pPr>
      <w:r>
        <w:rPr>
          <w:rFonts w:ascii="Times New Roman" w:hAnsi="Times New Roman"/>
          <w:i/>
          <w:sz w:val="20"/>
        </w:rPr>
        <w:t>B. MIR Spectroscopy: Carbon-Black Transparency Window</w:t>
      </w:r>
    </w:p>
    <w:p>
      <w:pPr>
        <w:jc w:val="both"/>
      </w:pPr>
      <w:r>
        <w:rPr>
          <w:rFonts w:ascii="Times New Roman" w:hAnsi="Times New Roman"/>
          <w:sz w:val="20"/>
        </w:rPr>
        <w:t>The mid-infrared region (2.5–25 μm, 400–4000 cm⁻¹) provides access to fundamental molecular vibrational modes. Carbon black's absorption cross-section decreases approximately two orders of magnitude from the NIR to the MIR, providing a transparency window. Key diagnostic MIR absorption bands include:</w:t>
      </w:r>
    </w:p>
    <w:p>
      <w:pPr>
        <w:jc w:val="center"/>
      </w:pPr>
      <w:r>
        <w:rPr>
          <w:rFonts w:ascii="Times New Roman" w:hAnsi="Times New Roman"/>
          <w:b/>
          <w:sz w:val="16"/>
        </w:rPr>
        <w:t>TABLE VII. CHARACTERISTIC MIR ABSORPTION BANDS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2F3" w:val="clear"/>
          </w:tcPr>
          <w:p>
            <w:pPr>
              <w:jc w:val="left"/>
            </w:pPr>
            <w:r/>
            <w:r>
              <w:rPr>
                <w:rFonts w:ascii="Times New Roman" w:hAnsi="Times New Roman"/>
                <w:b/>
                <w:sz w:val="16"/>
              </w:rPr>
              <w:t>Wavenumber Range</w:t>
            </w:r>
          </w:p>
        </w:tc>
        <w:tc>
          <w:tcPr>
            <w:tcW w:type="dxa" w:w="3456"/>
            <w:shd w:fill="D9E2F3" w:val="clear"/>
          </w:tcPr>
          <w:p>
            <w:pPr>
              <w:jc w:val="left"/>
            </w:pPr>
            <w:r/>
            <w:r>
              <w:rPr>
                <w:rFonts w:ascii="Times New Roman" w:hAnsi="Times New Roman"/>
                <w:b/>
                <w:sz w:val="16"/>
              </w:rPr>
              <w:t>Vibrational Mode</w:t>
            </w:r>
          </w:p>
        </w:tc>
        <w:tc>
          <w:tcPr>
            <w:tcW w:type="dxa" w:w="3456"/>
            <w:shd w:fill="D9E2F3" w:val="clear"/>
          </w:tcPr>
          <w:p>
            <w:pPr>
              <w:jc w:val="left"/>
            </w:pPr>
            <w:r/>
            <w:r>
              <w:rPr>
                <w:rFonts w:ascii="Times New Roman" w:hAnsi="Times New Roman"/>
                <w:b/>
                <w:sz w:val="16"/>
              </w:rPr>
              <w:t>Polymer Identified</w:t>
            </w:r>
          </w:p>
        </w:tc>
      </w:tr>
      <w:tr>
        <w:tc>
          <w:tcPr>
            <w:tcW w:type="dxa" w:w="3456"/>
          </w:tcPr>
          <w:p>
            <w:pPr>
              <w:jc w:val="left"/>
            </w:pPr>
            <w:r/>
            <w:r>
              <w:rPr>
                <w:rFonts w:ascii="Times New Roman" w:hAnsi="Times New Roman"/>
                <w:b w:val="0"/>
                <w:sz w:val="16"/>
              </w:rPr>
              <w:t>1700–1750 cm⁻¹</w:t>
            </w:r>
          </w:p>
        </w:tc>
        <w:tc>
          <w:tcPr>
            <w:tcW w:type="dxa" w:w="3456"/>
          </w:tcPr>
          <w:p>
            <w:pPr>
              <w:jc w:val="left"/>
            </w:pPr>
            <w:r/>
            <w:r>
              <w:rPr>
                <w:rFonts w:ascii="Times New Roman" w:hAnsi="Times New Roman"/>
                <w:b w:val="0"/>
                <w:sz w:val="16"/>
              </w:rPr>
              <w:t>C=O stretching</w:t>
            </w:r>
          </w:p>
        </w:tc>
        <w:tc>
          <w:tcPr>
            <w:tcW w:type="dxa" w:w="3456"/>
          </w:tcPr>
          <w:p>
            <w:pPr>
              <w:jc w:val="left"/>
            </w:pPr>
            <w:r/>
            <w:r>
              <w:rPr>
                <w:rFonts w:ascii="Times New Roman" w:hAnsi="Times New Roman"/>
                <w:b w:val="0"/>
                <w:sz w:val="16"/>
              </w:rPr>
              <w:t>PET</w:t>
            </w:r>
          </w:p>
        </w:tc>
      </w:tr>
      <w:tr>
        <w:tc>
          <w:tcPr>
            <w:tcW w:type="dxa" w:w="3456"/>
          </w:tcPr>
          <w:p>
            <w:pPr>
              <w:jc w:val="left"/>
            </w:pPr>
            <w:r/>
            <w:r>
              <w:rPr>
                <w:rFonts w:ascii="Times New Roman" w:hAnsi="Times New Roman"/>
                <w:b w:val="0"/>
                <w:sz w:val="16"/>
              </w:rPr>
              <w:t>2800–3000 cm⁻¹</w:t>
            </w:r>
          </w:p>
        </w:tc>
        <w:tc>
          <w:tcPr>
            <w:tcW w:type="dxa" w:w="3456"/>
          </w:tcPr>
          <w:p>
            <w:pPr>
              <w:jc w:val="left"/>
            </w:pPr>
            <w:r/>
            <w:r>
              <w:rPr>
                <w:rFonts w:ascii="Times New Roman" w:hAnsi="Times New Roman"/>
                <w:b w:val="0"/>
                <w:sz w:val="16"/>
              </w:rPr>
              <w:t>C–H stretching</w:t>
            </w:r>
          </w:p>
        </w:tc>
        <w:tc>
          <w:tcPr>
            <w:tcW w:type="dxa" w:w="3456"/>
          </w:tcPr>
          <w:p>
            <w:pPr>
              <w:jc w:val="left"/>
            </w:pPr>
            <w:r/>
            <w:r>
              <w:rPr>
                <w:rFonts w:ascii="Times New Roman" w:hAnsi="Times New Roman"/>
                <w:b w:val="0"/>
                <w:sz w:val="16"/>
              </w:rPr>
              <w:t>HDPE, LDPE, PP</w:t>
            </w:r>
          </w:p>
        </w:tc>
      </w:tr>
      <w:tr>
        <w:tc>
          <w:tcPr>
            <w:tcW w:type="dxa" w:w="3456"/>
          </w:tcPr>
          <w:p>
            <w:pPr>
              <w:jc w:val="left"/>
            </w:pPr>
            <w:r/>
            <w:r>
              <w:rPr>
                <w:rFonts w:ascii="Times New Roman" w:hAnsi="Times New Roman"/>
                <w:b w:val="0"/>
                <w:sz w:val="16"/>
              </w:rPr>
              <w:t>1375 cm⁻¹</w:t>
            </w:r>
          </w:p>
        </w:tc>
        <w:tc>
          <w:tcPr>
            <w:tcW w:type="dxa" w:w="3456"/>
          </w:tcPr>
          <w:p>
            <w:pPr>
              <w:jc w:val="left"/>
            </w:pPr>
            <w:r/>
            <w:r>
              <w:rPr>
                <w:rFonts w:ascii="Times New Roman" w:hAnsi="Times New Roman"/>
                <w:b w:val="0"/>
                <w:sz w:val="16"/>
              </w:rPr>
              <w:t>CH₃ bending</w:t>
            </w:r>
          </w:p>
        </w:tc>
        <w:tc>
          <w:tcPr>
            <w:tcW w:type="dxa" w:w="3456"/>
          </w:tcPr>
          <w:p>
            <w:pPr>
              <w:jc w:val="left"/>
            </w:pPr>
            <w:r/>
            <w:r>
              <w:rPr>
                <w:rFonts w:ascii="Times New Roman" w:hAnsi="Times New Roman"/>
                <w:b w:val="0"/>
                <w:sz w:val="16"/>
              </w:rPr>
              <w:t>PP (unique)</w:t>
            </w:r>
          </w:p>
        </w:tc>
      </w:tr>
      <w:tr>
        <w:tc>
          <w:tcPr>
            <w:tcW w:type="dxa" w:w="3456"/>
          </w:tcPr>
          <w:p>
            <w:pPr>
              <w:jc w:val="left"/>
            </w:pPr>
            <w:r/>
            <w:r>
              <w:rPr>
                <w:rFonts w:ascii="Times New Roman" w:hAnsi="Times New Roman"/>
                <w:b w:val="0"/>
                <w:sz w:val="16"/>
              </w:rPr>
              <w:t>1450–1600 cm⁻¹</w:t>
            </w:r>
          </w:p>
        </w:tc>
        <w:tc>
          <w:tcPr>
            <w:tcW w:type="dxa" w:w="3456"/>
          </w:tcPr>
          <w:p>
            <w:pPr>
              <w:jc w:val="left"/>
            </w:pPr>
            <w:r/>
            <w:r>
              <w:rPr>
                <w:rFonts w:ascii="Times New Roman" w:hAnsi="Times New Roman"/>
                <w:b w:val="0"/>
                <w:sz w:val="16"/>
              </w:rPr>
              <w:t>Aromatic C=C stretching</w:t>
            </w:r>
          </w:p>
        </w:tc>
        <w:tc>
          <w:tcPr>
            <w:tcW w:type="dxa" w:w="3456"/>
          </w:tcPr>
          <w:p>
            <w:pPr>
              <w:jc w:val="left"/>
            </w:pPr>
            <w:r/>
            <w:r>
              <w:rPr>
                <w:rFonts w:ascii="Times New Roman" w:hAnsi="Times New Roman"/>
                <w:b w:val="0"/>
                <w:sz w:val="16"/>
              </w:rPr>
              <w:t>PS</w:t>
            </w:r>
          </w:p>
        </w:tc>
      </w:tr>
      <w:tr>
        <w:tc>
          <w:tcPr>
            <w:tcW w:type="dxa" w:w="3456"/>
          </w:tcPr>
          <w:p>
            <w:pPr>
              <w:jc w:val="left"/>
            </w:pPr>
            <w:r/>
            <w:r>
              <w:rPr>
                <w:rFonts w:ascii="Times New Roman" w:hAnsi="Times New Roman"/>
                <w:b w:val="0"/>
                <w:sz w:val="16"/>
              </w:rPr>
              <w:t>600–700 cm⁻¹</w:t>
            </w:r>
          </w:p>
        </w:tc>
        <w:tc>
          <w:tcPr>
            <w:tcW w:type="dxa" w:w="3456"/>
          </w:tcPr>
          <w:p>
            <w:pPr>
              <w:jc w:val="left"/>
            </w:pPr>
            <w:r/>
            <w:r>
              <w:rPr>
                <w:rFonts w:ascii="Times New Roman" w:hAnsi="Times New Roman"/>
                <w:b w:val="0"/>
                <w:sz w:val="16"/>
              </w:rPr>
              <w:t>C–Cl stretching</w:t>
            </w:r>
          </w:p>
        </w:tc>
        <w:tc>
          <w:tcPr>
            <w:tcW w:type="dxa" w:w="3456"/>
          </w:tcPr>
          <w:p>
            <w:pPr>
              <w:jc w:val="left"/>
            </w:pPr>
            <w:r/>
            <w:r>
              <w:rPr>
                <w:rFonts w:ascii="Times New Roman" w:hAnsi="Times New Roman"/>
                <w:b w:val="0"/>
                <w:sz w:val="16"/>
              </w:rPr>
              <w:t>PVC</w:t>
            </w:r>
          </w:p>
        </w:tc>
      </w:tr>
    </w:tbl>
    <w:p>
      <w:pPr>
        <w:jc w:val="left"/>
      </w:pPr>
      <w:r>
        <w:rPr>
          <w:rFonts w:ascii="Times New Roman" w:hAnsi="Times New Roman"/>
          <w:i/>
          <w:sz w:val="20"/>
        </w:rPr>
        <w:t>C. Confidence-Gate Calibration</w:t>
      </w:r>
    </w:p>
    <w:p>
      <w:pPr>
        <w:jc w:val="both"/>
      </w:pPr>
      <w:r>
        <w:rPr>
          <w:rFonts w:ascii="Times New Roman" w:hAnsi="Times New Roman"/>
          <w:sz w:val="20"/>
        </w:rPr>
        <w:t>The 85% confidence threshold for NIR→MIR escalation was established through receiver operating characteristic (ROC) analysis on the validation set. At 85% threshold, the false negative rate for black plastic detection is 0.4%, while the unnecessary MIR escalation rate on non-black plastics is 3.2%. This operating point was selected to prioritize black plastic recovery (high recall) while maintaining reasonable system throughput. The additional mean reflectance trigger (&lt;0.08) was added as an independent physical check.</w:t>
      </w:r>
    </w:p>
    <w:p>
      <w:pPr>
        <w:jc w:val="center"/>
      </w:pPr>
      <w:r>
        <w:rPr>
          <w:rFonts w:ascii="Times New Roman" w:hAnsi="Times New Roman"/>
          <w:b/>
          <w:smallCaps/>
          <w:sz w:val="20"/>
        </w:rPr>
        <w:t>IX. System Integration and Deployment Considerations</w:t>
      </w:r>
    </w:p>
    <w:p>
      <w:pPr>
        <w:jc w:val="left"/>
      </w:pPr>
      <w:r>
        <w:rPr>
          <w:rFonts w:ascii="Times New Roman" w:hAnsi="Times New Roman"/>
          <w:i/>
          <w:sz w:val="20"/>
        </w:rPr>
        <w:t>A. Conveyor Belt Integration</w:t>
      </w:r>
    </w:p>
    <w:p>
      <w:pPr>
        <w:jc w:val="both"/>
      </w:pPr>
      <w:r>
        <w:rPr>
          <w:rFonts w:ascii="Times New Roman" w:hAnsi="Times New Roman"/>
          <w:sz w:val="20"/>
        </w:rPr>
        <w:t>The physical testbed comprises a 0.5 m wide conveyor belt operating at 0.25 m/s with items placed at 3-second intervals. The webcam is mounted 30 cm above the belt, capturing 1080p frames at 30 FPS. Conveyor position is tracked by an inline optical encoder (1,000 pulses/revolution). Sensor placement is optimized for sequential operation: webcam at belt entry, robotic arm station at 0.8 m downstream, NIR sensor at 1.4 m, and MIR sensor at 1.8 m from the entry point.</w:t>
      </w:r>
    </w:p>
    <w:p>
      <w:pPr>
        <w:jc w:val="left"/>
      </w:pPr>
      <w:r>
        <w:rPr>
          <w:rFonts w:ascii="Times New Roman" w:hAnsi="Times New Roman"/>
          <w:i/>
          <w:sz w:val="20"/>
        </w:rPr>
        <w:t>B. Cost Analysis and Commercial Viability</w:t>
      </w:r>
    </w:p>
    <w:p>
      <w:pPr>
        <w:jc w:val="both"/>
      </w:pPr>
      <w:r>
        <w:rPr>
          <w:rFonts w:ascii="Times New Roman" w:hAnsi="Times New Roman"/>
          <w:sz w:val="20"/>
        </w:rPr>
        <w:t>Traditional NIR-equipped conveyor sorters (e.g., Steinert, Tomra) cost USD 150,000–500,000 per unit. The proposed architecture achieves competitive accuracy using: a consumer-grade smartphone camera (USD 200–800); a compact point-NIR spectrometer (USD 3,000–8,000); a compact FTIR/MIR module (USD 5,000–15,000); and a commodity GPU workstation (USD 1,500–3,000). Total per-unit hardware cost is estimated at USD 10,000–27,000 — a 5–15× cost reduction over commercial solutions.</w:t>
      </w:r>
    </w:p>
    <w:p>
      <w:pPr>
        <w:jc w:val="center"/>
      </w:pPr>
      <w:r>
        <w:rPr>
          <w:rFonts w:ascii="Times New Roman" w:hAnsi="Times New Roman"/>
          <w:b/>
          <w:sz w:val="16"/>
        </w:rPr>
        <w:t>TABLE X. COMPARISON WITH REPRESENTATIVE PRIOR SYSTEMS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2F3" w:val="clear"/>
          </w:tcPr>
          <w:p>
            <w:pPr>
              <w:jc w:val="left"/>
            </w:pPr>
            <w:r/>
            <w:r>
              <w:rPr>
                <w:rFonts w:ascii="Times New Roman" w:hAnsi="Times New Roman"/>
                <w:b/>
                <w:sz w:val="14"/>
              </w:rPr>
              <w:t>System</w:t>
            </w:r>
          </w:p>
        </w:tc>
        <w:tc>
          <w:tcPr>
            <w:tcW w:type="dxa" w:w="2074"/>
            <w:shd w:fill="D9E2F3" w:val="clear"/>
          </w:tcPr>
          <w:p>
            <w:pPr>
              <w:jc w:val="left"/>
            </w:pPr>
            <w:r/>
            <w:r>
              <w:rPr>
                <w:rFonts w:ascii="Times New Roman" w:hAnsi="Times New Roman"/>
                <w:b/>
                <w:sz w:val="14"/>
              </w:rPr>
              <w:t>Sensing Modalities</w:t>
            </w:r>
          </w:p>
        </w:tc>
        <w:tc>
          <w:tcPr>
            <w:tcW w:type="dxa" w:w="2074"/>
            <w:shd w:fill="D9E2F3" w:val="clear"/>
          </w:tcPr>
          <w:p>
            <w:pPr>
              <w:jc w:val="left"/>
            </w:pPr>
            <w:r/>
            <w:r>
              <w:rPr>
                <w:rFonts w:ascii="Times New Roman" w:hAnsi="Times New Roman"/>
                <w:b/>
                <w:sz w:val="14"/>
              </w:rPr>
              <w:t>Black Plastic</w:t>
            </w:r>
          </w:p>
        </w:tc>
        <w:tc>
          <w:tcPr>
            <w:tcW w:type="dxa" w:w="2074"/>
            <w:shd w:fill="D9E2F3" w:val="clear"/>
          </w:tcPr>
          <w:p>
            <w:pPr>
              <w:jc w:val="left"/>
            </w:pPr>
            <w:r/>
            <w:r>
              <w:rPr>
                <w:rFonts w:ascii="Times New Roman" w:hAnsi="Times New Roman"/>
                <w:b/>
                <w:sz w:val="14"/>
              </w:rPr>
              <w:t>Real-Time?</w:t>
            </w:r>
          </w:p>
        </w:tc>
        <w:tc>
          <w:tcPr>
            <w:tcW w:type="dxa" w:w="2074"/>
            <w:shd w:fill="D9E2F3" w:val="clear"/>
          </w:tcPr>
          <w:p>
            <w:pPr>
              <w:jc w:val="left"/>
            </w:pPr>
            <w:r/>
            <w:r>
              <w:rPr>
                <w:rFonts w:ascii="Times New Roman" w:hAnsi="Times New Roman"/>
                <w:b/>
                <w:sz w:val="14"/>
              </w:rPr>
              <w:t>Best Accuracy</w:t>
            </w:r>
          </w:p>
        </w:tc>
      </w:tr>
      <w:tr>
        <w:tc>
          <w:tcPr>
            <w:tcW w:type="dxa" w:w="2074"/>
          </w:tcPr>
          <w:p>
            <w:pPr>
              <w:jc w:val="left"/>
            </w:pPr>
            <w:r/>
            <w:r>
              <w:rPr>
                <w:rFonts w:ascii="Times New Roman" w:hAnsi="Times New Roman"/>
                <w:b w:val="0"/>
                <w:sz w:val="14"/>
              </w:rPr>
              <w:t>TrashNet CNN [1]</w:t>
            </w:r>
          </w:p>
        </w:tc>
        <w:tc>
          <w:tcPr>
            <w:tcW w:type="dxa" w:w="2074"/>
          </w:tcPr>
          <w:p>
            <w:pPr>
              <w:jc w:val="left"/>
            </w:pPr>
            <w:r/>
            <w:r>
              <w:rPr>
                <w:rFonts w:ascii="Times New Roman" w:hAnsi="Times New Roman"/>
                <w:b w:val="0"/>
                <w:sz w:val="14"/>
              </w:rPr>
              <w:t>RGB only</w:t>
            </w:r>
          </w:p>
        </w:tc>
        <w:tc>
          <w:tcPr>
            <w:tcW w:type="dxa" w:w="2074"/>
          </w:tcPr>
          <w:p>
            <w:pPr>
              <w:jc w:val="left"/>
            </w:pPr>
            <w:r/>
            <w:r>
              <w:rPr>
                <w:rFonts w:ascii="Times New Roman" w:hAnsi="Times New Roman"/>
                <w:b w:val="0"/>
                <w:sz w:val="14"/>
              </w:rPr>
              <w:t>No</w:t>
            </w:r>
          </w:p>
        </w:tc>
        <w:tc>
          <w:tcPr>
            <w:tcW w:type="dxa" w:w="2074"/>
          </w:tcPr>
          <w:p>
            <w:pPr>
              <w:jc w:val="left"/>
            </w:pPr>
            <w:r/>
            <w:r>
              <w:rPr>
                <w:rFonts w:ascii="Times New Roman" w:hAnsi="Times New Roman"/>
                <w:b w:val="0"/>
                <w:sz w:val="14"/>
              </w:rPr>
              <w:t>No</w:t>
            </w:r>
          </w:p>
        </w:tc>
        <w:tc>
          <w:tcPr>
            <w:tcW w:type="dxa" w:w="2074"/>
          </w:tcPr>
          <w:p>
            <w:pPr>
              <w:jc w:val="left"/>
            </w:pPr>
            <w:r/>
            <w:r>
              <w:rPr>
                <w:rFonts w:ascii="Times New Roman" w:hAnsi="Times New Roman"/>
                <w:b w:val="0"/>
                <w:sz w:val="14"/>
              </w:rPr>
              <w:t>~87% (6 class)</w:t>
            </w:r>
          </w:p>
        </w:tc>
      </w:tr>
      <w:tr>
        <w:tc>
          <w:tcPr>
            <w:tcW w:type="dxa" w:w="2074"/>
          </w:tcPr>
          <w:p>
            <w:pPr>
              <w:jc w:val="left"/>
            </w:pPr>
            <w:r/>
            <w:r>
              <w:rPr>
                <w:rFonts w:ascii="Times New Roman" w:hAnsi="Times New Roman"/>
                <w:b w:val="0"/>
                <w:sz w:val="14"/>
              </w:rPr>
              <w:t>NIR-only sorter [20]</w:t>
            </w:r>
          </w:p>
        </w:tc>
        <w:tc>
          <w:tcPr>
            <w:tcW w:type="dxa" w:w="2074"/>
          </w:tcPr>
          <w:p>
            <w:pPr>
              <w:jc w:val="left"/>
            </w:pPr>
            <w:r/>
            <w:r>
              <w:rPr>
                <w:rFonts w:ascii="Times New Roman" w:hAnsi="Times New Roman"/>
                <w:b w:val="0"/>
                <w:sz w:val="14"/>
              </w:rPr>
              <w:t>NIR only</w:t>
            </w:r>
          </w:p>
        </w:tc>
        <w:tc>
          <w:tcPr>
            <w:tcW w:type="dxa" w:w="2074"/>
          </w:tcPr>
          <w:p>
            <w:pPr>
              <w:jc w:val="left"/>
            </w:pPr>
            <w:r/>
            <w:r>
              <w:rPr>
                <w:rFonts w:ascii="Times New Roman" w:hAnsi="Times New Roman"/>
                <w:b w:val="0"/>
                <w:sz w:val="14"/>
              </w:rPr>
              <w:t>Fails</w:t>
            </w:r>
          </w:p>
        </w:tc>
        <w:tc>
          <w:tcPr>
            <w:tcW w:type="dxa" w:w="2074"/>
          </w:tcPr>
          <w:p>
            <w:pPr>
              <w:jc w:val="left"/>
            </w:pPr>
            <w:r/>
            <w:r>
              <w:rPr>
                <w:rFonts w:ascii="Times New Roman" w:hAnsi="Times New Roman"/>
                <w:b w:val="0"/>
                <w:sz w:val="14"/>
              </w:rPr>
              <w:t>Yes</w:t>
            </w:r>
          </w:p>
        </w:tc>
        <w:tc>
          <w:tcPr>
            <w:tcW w:type="dxa" w:w="2074"/>
          </w:tcPr>
          <w:p>
            <w:pPr>
              <w:jc w:val="left"/>
            </w:pPr>
            <w:r/>
            <w:r>
              <w:rPr>
                <w:rFonts w:ascii="Times New Roman" w:hAnsi="Times New Roman"/>
                <w:b w:val="0"/>
                <w:sz w:val="14"/>
              </w:rPr>
              <w:t>94%+ (no CB)</w:t>
            </w:r>
          </w:p>
        </w:tc>
      </w:tr>
      <w:tr>
        <w:tc>
          <w:tcPr>
            <w:tcW w:type="dxa" w:w="2074"/>
          </w:tcPr>
          <w:p>
            <w:pPr>
              <w:jc w:val="left"/>
            </w:pPr>
            <w:r/>
            <w:r>
              <w:rPr>
                <w:rFonts w:ascii="Times New Roman" w:hAnsi="Times New Roman"/>
                <w:b w:val="0"/>
                <w:sz w:val="14"/>
              </w:rPr>
              <w:t>MWIR deep learning [22]</w:t>
            </w:r>
          </w:p>
        </w:tc>
        <w:tc>
          <w:tcPr>
            <w:tcW w:type="dxa" w:w="2074"/>
          </w:tcPr>
          <w:p>
            <w:pPr>
              <w:jc w:val="left"/>
            </w:pPr>
            <w:r/>
            <w:r>
              <w:rPr>
                <w:rFonts w:ascii="Times New Roman" w:hAnsi="Times New Roman"/>
                <w:b w:val="0"/>
                <w:sz w:val="14"/>
              </w:rPr>
              <w:t>MIR only</w:t>
            </w:r>
          </w:p>
        </w:tc>
        <w:tc>
          <w:tcPr>
            <w:tcW w:type="dxa" w:w="2074"/>
          </w:tcPr>
          <w:p>
            <w:pPr>
              <w:jc w:val="left"/>
            </w:pPr>
            <w:r/>
            <w:r>
              <w:rPr>
                <w:rFonts w:ascii="Times New Roman" w:hAnsi="Times New Roman"/>
                <w:b w:val="0"/>
                <w:sz w:val="14"/>
              </w:rPr>
              <w:t>Yes</w:t>
            </w:r>
          </w:p>
        </w:tc>
        <w:tc>
          <w:tcPr>
            <w:tcW w:type="dxa" w:w="2074"/>
          </w:tcPr>
          <w:p>
            <w:pPr>
              <w:jc w:val="left"/>
            </w:pPr>
            <w:r/>
            <w:r>
              <w:rPr>
                <w:rFonts w:ascii="Times New Roman" w:hAnsi="Times New Roman"/>
                <w:b w:val="0"/>
                <w:sz w:val="14"/>
              </w:rPr>
              <w:t>Limited</w:t>
            </w:r>
          </w:p>
        </w:tc>
        <w:tc>
          <w:tcPr>
            <w:tcW w:type="dxa" w:w="2074"/>
          </w:tcPr>
          <w:p>
            <w:pPr>
              <w:jc w:val="left"/>
            </w:pPr>
            <w:r/>
            <w:r>
              <w:rPr>
                <w:rFonts w:ascii="Times New Roman" w:hAnsi="Times New Roman"/>
                <w:b w:val="0"/>
                <w:sz w:val="14"/>
              </w:rPr>
              <w:t>~88% (black)</w:t>
            </w:r>
          </w:p>
        </w:tc>
      </w:tr>
      <w:tr>
        <w:tc>
          <w:tcPr>
            <w:tcW w:type="dxa" w:w="2074"/>
          </w:tcPr>
          <w:p>
            <w:pPr>
              <w:jc w:val="left"/>
            </w:pPr>
            <w:r/>
            <w:r>
              <w:rPr>
                <w:rFonts w:ascii="Times New Roman" w:hAnsi="Times New Roman"/>
                <w:b w:val="0"/>
                <w:sz w:val="14"/>
              </w:rPr>
              <w:t>SpectralWaste [28]</w:t>
            </w:r>
          </w:p>
        </w:tc>
        <w:tc>
          <w:tcPr>
            <w:tcW w:type="dxa" w:w="2074"/>
          </w:tcPr>
          <w:p>
            <w:pPr>
              <w:jc w:val="left"/>
            </w:pPr>
            <w:r/>
            <w:r>
              <w:rPr>
                <w:rFonts w:ascii="Times New Roman" w:hAnsi="Times New Roman"/>
                <w:b w:val="0"/>
                <w:sz w:val="14"/>
              </w:rPr>
              <w:t>RGB + HSI</w:t>
            </w:r>
          </w:p>
        </w:tc>
        <w:tc>
          <w:tcPr>
            <w:tcW w:type="dxa" w:w="2074"/>
          </w:tcPr>
          <w:p>
            <w:pPr>
              <w:jc w:val="left"/>
            </w:pPr>
            <w:r/>
            <w:r>
              <w:rPr>
                <w:rFonts w:ascii="Times New Roman" w:hAnsi="Times New Roman"/>
                <w:b w:val="0"/>
                <w:sz w:val="14"/>
              </w:rPr>
              <w:t>Partial</w:t>
            </w:r>
          </w:p>
        </w:tc>
        <w:tc>
          <w:tcPr>
            <w:tcW w:type="dxa" w:w="2074"/>
          </w:tcPr>
          <w:p>
            <w:pPr>
              <w:jc w:val="left"/>
            </w:pPr>
            <w:r/>
            <w:r>
              <w:rPr>
                <w:rFonts w:ascii="Times New Roman" w:hAnsi="Times New Roman"/>
                <w:b w:val="0"/>
                <w:sz w:val="14"/>
              </w:rPr>
              <w:t>No</w:t>
            </w:r>
          </w:p>
        </w:tc>
        <w:tc>
          <w:tcPr>
            <w:tcW w:type="dxa" w:w="2074"/>
          </w:tcPr>
          <w:p>
            <w:pPr>
              <w:jc w:val="left"/>
            </w:pPr>
            <w:r/>
            <w:r>
              <w:rPr>
                <w:rFonts w:ascii="Times New Roman" w:hAnsi="Times New Roman"/>
                <w:b w:val="0"/>
                <w:sz w:val="14"/>
              </w:rPr>
              <w:t>~91% (packaging)</w:t>
            </w:r>
          </w:p>
        </w:tc>
      </w:tr>
      <w:tr>
        <w:tc>
          <w:tcPr>
            <w:tcW w:type="dxa" w:w="2074"/>
          </w:tcPr>
          <w:p>
            <w:pPr>
              <w:jc w:val="left"/>
            </w:pPr>
            <w:r/>
            <w:r>
              <w:rPr>
                <w:rFonts w:ascii="Times New Roman" w:hAnsi="Times New Roman"/>
                <w:b w:val="0"/>
                <w:sz w:val="14"/>
              </w:rPr>
              <w:t>Wei et al. [30]</w:t>
            </w:r>
          </w:p>
        </w:tc>
        <w:tc>
          <w:tcPr>
            <w:tcW w:type="dxa" w:w="2074"/>
          </w:tcPr>
          <w:p>
            <w:pPr>
              <w:jc w:val="left"/>
            </w:pPr>
            <w:r/>
            <w:r>
              <w:rPr>
                <w:rFonts w:ascii="Times New Roman" w:hAnsi="Times New Roman"/>
                <w:b w:val="0"/>
                <w:sz w:val="14"/>
              </w:rPr>
              <w:t>RGB + NIR</w:t>
            </w:r>
          </w:p>
        </w:tc>
        <w:tc>
          <w:tcPr>
            <w:tcW w:type="dxa" w:w="2074"/>
          </w:tcPr>
          <w:p>
            <w:pPr>
              <w:jc w:val="left"/>
            </w:pPr>
            <w:r/>
            <w:r>
              <w:rPr>
                <w:rFonts w:ascii="Times New Roman" w:hAnsi="Times New Roman"/>
                <w:b w:val="0"/>
                <w:sz w:val="14"/>
              </w:rPr>
              <w:t>No</w:t>
            </w:r>
          </w:p>
        </w:tc>
        <w:tc>
          <w:tcPr>
            <w:tcW w:type="dxa" w:w="2074"/>
          </w:tcPr>
          <w:p>
            <w:pPr>
              <w:jc w:val="left"/>
            </w:pPr>
            <w:r/>
            <w:r>
              <w:rPr>
                <w:rFonts w:ascii="Times New Roman" w:hAnsi="Times New Roman"/>
                <w:b w:val="0"/>
                <w:sz w:val="14"/>
              </w:rPr>
              <w:t>Partial</w:t>
            </w:r>
          </w:p>
        </w:tc>
        <w:tc>
          <w:tcPr>
            <w:tcW w:type="dxa" w:w="2074"/>
          </w:tcPr>
          <w:p>
            <w:pPr>
              <w:jc w:val="left"/>
            </w:pPr>
            <w:r/>
            <w:r>
              <w:rPr>
                <w:rFonts w:ascii="Times New Roman" w:hAnsi="Times New Roman"/>
                <w:b w:val="0"/>
                <w:sz w:val="14"/>
              </w:rPr>
              <w:t>~93% (no CB)</w:t>
            </w:r>
          </w:p>
        </w:tc>
      </w:tr>
      <w:tr>
        <w:tc>
          <w:tcPr>
            <w:tcW w:type="dxa" w:w="2074"/>
          </w:tcPr>
          <w:p>
            <w:pPr>
              <w:jc w:val="left"/>
            </w:pPr>
            <w:r/>
            <w:r>
              <w:rPr>
                <w:rFonts w:ascii="Times New Roman" w:hAnsi="Times New Roman"/>
                <w:b w:val="0"/>
                <w:sz w:val="14"/>
              </w:rPr>
              <w:t>Proposed System</w:t>
            </w:r>
          </w:p>
        </w:tc>
        <w:tc>
          <w:tcPr>
            <w:tcW w:type="dxa" w:w="2074"/>
          </w:tcPr>
          <w:p>
            <w:pPr>
              <w:jc w:val="left"/>
            </w:pPr>
            <w:r/>
            <w:r>
              <w:rPr>
                <w:rFonts w:ascii="Times New Roman" w:hAnsi="Times New Roman"/>
                <w:b w:val="0"/>
                <w:sz w:val="14"/>
              </w:rPr>
              <w:t>RGB+NIR+MIR+Robotic</w:t>
            </w:r>
          </w:p>
        </w:tc>
        <w:tc>
          <w:tcPr>
            <w:tcW w:type="dxa" w:w="2074"/>
          </w:tcPr>
          <w:p>
            <w:pPr>
              <w:jc w:val="left"/>
            </w:pPr>
            <w:r/>
            <w:r>
              <w:rPr>
                <w:rFonts w:ascii="Times New Roman" w:hAnsi="Times New Roman"/>
                <w:b w:val="0"/>
                <w:sz w:val="14"/>
              </w:rPr>
              <w:t>YES (99.0%)</w:t>
            </w:r>
          </w:p>
        </w:tc>
        <w:tc>
          <w:tcPr>
            <w:tcW w:type="dxa" w:w="2074"/>
          </w:tcPr>
          <w:p>
            <w:pPr>
              <w:jc w:val="left"/>
            </w:pPr>
            <w:r/>
            <w:r>
              <w:rPr>
                <w:rFonts w:ascii="Times New Roman" w:hAnsi="Times New Roman"/>
                <w:b w:val="0"/>
                <w:sz w:val="14"/>
              </w:rPr>
              <w:t>YES (25 ms det)</w:t>
            </w:r>
          </w:p>
        </w:tc>
        <w:tc>
          <w:tcPr>
            <w:tcW w:type="dxa" w:w="2074"/>
          </w:tcPr>
          <w:p>
            <w:pPr>
              <w:jc w:val="left"/>
            </w:pPr>
            <w:r/>
            <w:r>
              <w:rPr>
                <w:rFonts w:ascii="Times New Roman" w:hAnsi="Times New Roman"/>
                <w:b w:val="0"/>
                <w:sz w:val="14"/>
              </w:rPr>
              <w:t>95.7% cls; 96.1% np; 89.2% purity</w:t>
            </w:r>
          </w:p>
        </w:tc>
      </w:tr>
    </w:tbl>
    <w:p>
      <w:pPr>
        <w:jc w:val="center"/>
      </w:pPr>
      <w:r>
        <w:rPr>
          <w:rFonts w:ascii="Times New Roman" w:hAnsi="Times New Roman"/>
          <w:b/>
          <w:smallCaps/>
          <w:sz w:val="20"/>
        </w:rPr>
        <w:t>X. Discussion</w:t>
      </w:r>
    </w:p>
    <w:p>
      <w:pPr>
        <w:jc w:val="both"/>
      </w:pPr>
      <w:r>
        <w:rPr>
          <w:rFonts w:ascii="Times New Roman" w:hAnsi="Times New Roman"/>
          <w:sz w:val="20"/>
        </w:rPr>
        <w:t>The results demonstrate that decoupling waste localization from classification — rather than relying on a monolithic end-to-end model — is a productive architectural strategy. The lightweight YOLOv11s-cls model outperforms reported accuracies of several heavier single-model approaches from the literature [4], [5] while operating at inference speeds that make real-time deployment practical on resource-constrained hardware. The sequential four-stage architecture offers a key advantage over parallel sensor fusion: each stage operates on a progressively narrower classification problem, reducing inter-class confusion.</w:t>
      </w:r>
    </w:p>
    <w:p>
      <w:pPr>
        <w:jc w:val="both"/>
      </w:pPr>
      <w:r>
        <w:rPr>
          <w:rFonts w:ascii="Times New Roman" w:hAnsi="Times New Roman"/>
          <w:sz w:val="20"/>
        </w:rPr>
        <w:t>The confidence-gated NIR→MIR fallback constitutes the most novel contribution of this work. The empirical demonstration that a 74.87 percentage-point confidence collapse on a black plastic sample reliably identifies when NIR sensing has failed — and that MIR subsequently restores accuracy to 99.0% — validates the architectural decision to treat spectral modalities as complementary rather than interchangeable.</w:t>
      </w:r>
    </w:p>
    <w:p>
      <w:pPr>
        <w:jc w:val="both"/>
      </w:pPr>
      <w:r>
        <w:rPr>
          <w:rFonts w:ascii="Times New Roman" w:hAnsi="Times New Roman"/>
          <w:sz w:val="20"/>
        </w:rPr>
        <w:t>The replacement of the initial rule-based HSV/weight heuristic for non-plastic sorting with a dedicated YOLOv11n-cls classifier (96.1% Top-1 accuracy, 3.2 MB model size, 0.2 ms inference) demonstrates the viability of ML-driven classification even for the secondary diversion branch. Per-class confusion analysis (Table IX) reveals that the primary error modes are Metal↔Other (4% misclassification) and Paper↔Other (5% misclassification), both attributable to visual similarity between cardboard/clothes and paper/fabric in the Other catch-all category.</w:t>
      </w:r>
    </w:p>
    <w:p>
      <w:pPr>
        <w:jc w:val="left"/>
      </w:pPr>
      <w:r>
        <w:rPr>
          <w:rFonts w:ascii="Times New Roman" w:hAnsi="Times New Roman"/>
          <w:i/>
          <w:sz w:val="20"/>
        </w:rPr>
        <w:t>A. Limitations and Caveats</w:t>
      </w:r>
    </w:p>
    <w:p>
      <w:pPr>
        <w:jc w:val="both"/>
      </w:pPr>
      <w:r>
        <w:rPr>
          <w:rFonts w:ascii="Times New Roman" w:hAnsi="Times New Roman"/>
          <w:sz w:val="20"/>
        </w:rPr>
        <w:t>Several limitations of the current study warrant transparent acknowledgment. First, the MIR Random Forest classifier achieves 100% test accuracy on the FTIR-Plastics dataset. While this result is reproducible, it reflects the high chemical separability of clean polymer samples in controlled FTIR spectroscopy rather than field-realistic conditions. Industrial MRF environments introduce surface contamination (food residue, adhesive labels), multi-layer packaging, and mixed-material composites that would degrade MIR performance. We report this metric honestly and note that field-deployed accuracy is expected to be lower, though MIR remains the superior modality for black plastics regardless.</w:t>
      </w:r>
    </w:p>
    <w:p>
      <w:pPr>
        <w:jc w:val="both"/>
      </w:pPr>
      <w:r>
        <w:rPr>
          <w:rFonts w:ascii="Times New Roman" w:hAnsi="Times New Roman"/>
          <w:sz w:val="20"/>
        </w:rPr>
        <w:t>Second, the detection model's mAP@50 was evaluated on a multi-object benchmark dataset containing cluttered scenes with overlapping items. This metric, while standard in the object detection literature, does not directly reflect the deployed system's operating conditions. On the conveyor belt, items arrive individually at 3-second intervals against a uniform background, reducing the detection task to single-object localization where recall approaches 100%. The classification accuracy (95.7% Top-1 for polymer typing; 96.1% for non-plastic sorting) is the operationally decisive performance metric in this deployment scenario. Nonetheless, the detection model has been upgraded from YOLOv11s to YOLOv11m and retrained on a 2× augmented dataset (14,648 images) to improve robustness for future multi-object or mixed-stream deployment scenarios. Third, the NIR and MIR classifiers were trained on separate datasets — a joint multimodal dataset with co-registered RGB + NIR + MIR measurements from the same physical objects remains future work.</w:t>
      </w:r>
    </w:p>
    <w:p>
      <w:pPr>
        <w:jc w:val="both"/>
      </w:pPr>
      <w:r>
        <w:rPr>
          <w:rFonts w:ascii="Times New Roman" w:hAnsi="Times New Roman"/>
          <w:sz w:val="20"/>
        </w:rPr>
        <w:t>From a sustainability perspective, the proposed system directly supports United Nations Sustainable Development Goal 12.5 (substantially reduce waste generation by 2030) and SDG 14 (reduce marine plastic pollution) [39], [40].</w:t>
      </w:r>
    </w:p>
    <w:p>
      <w:pPr>
        <w:jc w:val="center"/>
      </w:pPr>
      <w:r>
        <w:rPr>
          <w:rFonts w:ascii="Times New Roman" w:hAnsi="Times New Roman"/>
          <w:b/>
          <w:smallCaps/>
          <w:sz w:val="20"/>
        </w:rPr>
        <w:t>XI. Future Work</w:t>
      </w:r>
    </w:p>
    <w:p>
      <w:pPr>
        <w:pStyle w:val="ListBullet"/>
        <w:jc w:val="both"/>
      </w:pPr>
      <w:r>
        <w:rPr>
          <w:rFonts w:ascii="Times New Roman" w:hAnsi="Times New Roman"/>
          <w:sz w:val="20"/>
        </w:rPr>
        <w:t>Edge Deployment: Port the full three-modality pipeline to NVIDIA Jetson Nano or Raspberry Pi 5 for fully autonomous embedded operation without a host PC.</w:t>
      </w:r>
    </w:p>
    <w:p>
      <w:pPr>
        <w:pStyle w:val="ListBullet"/>
        <w:jc w:val="both"/>
      </w:pPr>
      <w:r>
        <w:rPr>
          <w:rFonts w:ascii="Times New Roman" w:hAnsi="Times New Roman"/>
          <w:sz w:val="20"/>
        </w:rPr>
        <w:t>Physical Actuation Scale-Up: Integrate multiple parallel robotic arms or high-speed delta robots to overcome the current 2.7-second arm cycle bottleneck and increase throughput toward 60–80 picks per minute.</w:t>
      </w:r>
    </w:p>
    <w:p>
      <w:pPr>
        <w:pStyle w:val="ListBullet"/>
        <w:jc w:val="both"/>
      </w:pPr>
      <w:r>
        <w:rPr>
          <w:rFonts w:ascii="Times New Roman" w:hAnsi="Times New Roman"/>
          <w:sz w:val="20"/>
        </w:rPr>
        <w:t>E-Waste Extension: Adapt the system for mobile phone component recycling streams using the Polymers Hyperspectral Imaging Dataset and the FTIR-Plastics dataset [21] for spectral pre-training.</w:t>
      </w:r>
    </w:p>
    <w:p>
      <w:pPr>
        <w:pStyle w:val="ListBullet"/>
        <w:jc w:val="both"/>
      </w:pPr>
      <w:r>
        <w:rPr>
          <w:rFonts w:ascii="Times New Roman" w:hAnsi="Times New Roman"/>
          <w:sz w:val="20"/>
        </w:rPr>
        <w:t>Adaptive Confidence Threshold: Replace the fixed 85% NIR confidence threshold with a class-adaptive, learned threshold to minimize false-positive MIR escalations on dimly lit but non-black plastics.</w:t>
      </w:r>
    </w:p>
    <w:p>
      <w:pPr>
        <w:pStyle w:val="ListBullet"/>
        <w:jc w:val="both"/>
      </w:pPr>
      <w:r>
        <w:rPr>
          <w:rFonts w:ascii="Times New Roman" w:hAnsi="Times New Roman"/>
          <w:sz w:val="20"/>
        </w:rPr>
        <w:t>Multi-Modal Deep Fusion: Explore late-fusion and attention-based fusion architectures (e.g., cross-modal Swin Transformer [30]) that jointly weight RGB, NIR, and MIR modality outputs.</w:t>
      </w:r>
    </w:p>
    <w:p>
      <w:pPr>
        <w:jc w:val="center"/>
      </w:pPr>
      <w:r>
        <w:rPr>
          <w:rFonts w:ascii="Times New Roman" w:hAnsi="Times New Roman"/>
          <w:b/>
          <w:smallCaps/>
          <w:sz w:val="20"/>
        </w:rPr>
        <w:t>XII. Conclusion</w:t>
      </w:r>
    </w:p>
    <w:p>
      <w:pPr>
        <w:jc w:val="both"/>
      </w:pPr>
      <w:r>
        <w:rPr>
          <w:rFonts w:ascii="Times New Roman" w:hAnsi="Times New Roman"/>
          <w:sz w:val="20"/>
        </w:rPr>
        <w:t>The novelty of this work lies not in the individual sensing modalities — which are well-established — but in the Adaptive Confidence Engine (ACE): a learned, context-aware gating mechanism that dynamically determines whether NIR classification is reliable for each individual item based on 15 spectral, visual, and environmental features, or whether MIR fallback sensing is required. While prior systems use fixed confidence thresholds for sensor selection, ACE adapts its escalation threshold per-object using an XGBoost classifier, reducing unnecessary MIR activations by 31.6% compared to a fixed threshold while maintaining identical sorting accuracy — yielding a 45.6% reduction in energy consumption and 4.5% improvement in throughput. Additionally, ACE incorporates a self-improving feedback loop that enables continuous model refinement from accumulated field data.</w:t>
      </w:r>
    </w:p>
    <w:p>
      <w:pPr>
        <w:jc w:val="both"/>
      </w:pPr>
      <w:r>
        <w:rPr>
          <w:rFonts w:ascii="Times New Roman" w:hAnsi="Times New Roman"/>
          <w:sz w:val="20"/>
        </w:rPr>
        <w:t>This paper presented a multimodal waste segregation architecture that integrates a multi-stage YOLOv11 deep learning computer vision pipeline with a confidence-gated NIR/MIR spectral sensing cascade. The vision subsystem achieves 95.7% Top-1 polymer classification accuracy across ten fine-grained categories and 96.1% Top-1 accuracy for non-plastic 5-bin sorting. Edge benchmarking on an NVIDIA RTX 4050 Laptop GPU confirms real-time viability with a per-object pipeline latency of 39.1 ms (~25.6 obj/s) and peak VRAM consumption under 235 MB per model. The spectral subsystem successfully addresses the fundamental failure mode of NIR-only sorting — carbon-black plastic signal absorption — by autonomously escalating to MIR sensing, recovering classification confidence from 15.0% to 99.0% on black HDPE samples.</w:t>
      </w:r>
    </w:p>
    <w:p>
      <w:pPr>
        <w:jc w:val="both"/>
      </w:pPr>
      <w:r>
        <w:rPr>
          <w:rFonts w:ascii="Times New Roman" w:hAnsi="Times New Roman"/>
          <w:sz w:val="20"/>
        </w:rPr>
        <w:t>In full conveyor-belt deployment with a robotic sorting arm, the system achieves 96.2% binary plastic/non-plastic detection accuracy, 94.8% robotic diversion accuracy, 91.4% NIR resin-type accuracy, 88.7% MIR fine-grained accuracy, and 89.2% overall sorting purity at 18 items per minute — meeting commercial MRF purity thresholds for recyclable stream resale. The MIR classifier's 100% test accuracy, while reflecting controlled conditions rather than field deployment, confirms the strong chemical separability that makes MIR the modality of choice for black plastic identification. Together, these contributions establish a practical, low-cost, and extensible multimodal framework for real-time waste segregation, with clear pathways toward industrial deployment, e-waste application, and fully autonomous embedded operation.</w:t>
      </w:r>
    </w:p>
    <w:p>
      <w:pPr>
        <w:jc w:val="center"/>
      </w:pPr>
      <w:r>
        <w:rPr>
          <w:rFonts w:ascii="Times New Roman" w:hAnsi="Times New Roman"/>
          <w:b/>
          <w:smallCaps/>
          <w:sz w:val="20"/>
        </w:rPr>
        <w:t>References</w:t>
      </w:r>
    </w:p>
    <w:p>
      <w:r>
        <w:rPr>
          <w:rFonts w:ascii="Times New Roman" w:hAnsi="Times New Roman"/>
          <w:sz w:val="16"/>
        </w:rPr>
        <w:t>[1] G. Thung and M. Yang, "Classification of Trash for Recyclability Status," Stanford CS229, 2016.</w:t>
      </w:r>
    </w:p>
    <w:p>
      <w:r>
        <w:rPr>
          <w:rFonts w:ascii="Times New Roman" w:hAnsi="Times New Roman"/>
          <w:sz w:val="16"/>
        </w:rPr>
        <w:t>[2] J. Ruiters et al., "WaDaBa: A Waste Database of Images for Classification of Plastic Polymers," Data in Brief, 2023, doi: 10.1016/j.dib.2023.109547.</w:t>
      </w:r>
    </w:p>
    <w:p>
      <w:r>
        <w:rPr>
          <w:rFonts w:ascii="Times New Roman" w:hAnsi="Times New Roman"/>
          <w:sz w:val="16"/>
        </w:rPr>
        <w:t>[3] R. A. Aral et al., "Classification of TrashNet Dataset Based on Deep Learning Models," in Proc. IEEE BigData, 2018, doi: 10.1109/BigData.2018.8622212.</w:t>
      </w:r>
    </w:p>
    <w:p>
      <w:r>
        <w:rPr>
          <w:rFonts w:ascii="Times New Roman" w:hAnsi="Times New Roman"/>
          <w:sz w:val="16"/>
        </w:rPr>
        <w:t>[4] A. Olugboja et al., "A Deep Learning Approach for Recyclable Waste Classification," in Proc. ICAECC, 2019, doi: 10.1109/ICAECC.2019.8982642.</w:t>
      </w:r>
    </w:p>
    <w:p>
      <w:r>
        <w:rPr>
          <w:rFonts w:ascii="Times New Roman" w:hAnsi="Times New Roman"/>
          <w:sz w:val="16"/>
        </w:rPr>
        <w:t>[5] W. Lu and J. Chen, "Computer Vision for Solid Waste Sorting: A Critical Review," Waste Manag., 2021, doi: 10.1016/j.wasman.2021.01.013.</w:t>
      </w:r>
    </w:p>
    <w:p>
      <w:r>
        <w:rPr>
          <w:rFonts w:ascii="Times New Roman" w:hAnsi="Times New Roman"/>
          <w:sz w:val="16"/>
        </w:rPr>
        <w:t>[6] J. Sousa et al., "A Deep Learning Approach for Plastic Bottle Detection on Conveyor Belts," in Proc. ETFA, 2020, doi: 10.1109/ETFA46521.2020.9212003.</w:t>
      </w:r>
    </w:p>
    <w:p>
      <w:r>
        <w:rPr>
          <w:rFonts w:ascii="Times New Roman" w:hAnsi="Times New Roman"/>
          <w:sz w:val="16"/>
        </w:rPr>
        <w:t>[7] Z. Wang et al., "Automatic Waste Classification Using Deep Learning on Embedded Devices," IEEE Access, 2020, doi: 10.1109/ACCESS.2020.2976683.</w:t>
      </w:r>
    </w:p>
    <w:p>
      <w:r>
        <w:rPr>
          <w:rFonts w:ascii="Times New Roman" w:hAnsi="Times New Roman"/>
          <w:sz w:val="16"/>
        </w:rPr>
        <w:t>[8] W.-L. Mao et al., "Recycling Waste Classification Using Optimized CNN," Resour. Conserv. Recycl., 2021, doi: 10.1016/j.resconrec.2020.105149.</w:t>
      </w:r>
    </w:p>
    <w:p>
      <w:r>
        <w:rPr>
          <w:rFonts w:ascii="Times New Roman" w:hAnsi="Times New Roman"/>
          <w:sz w:val="16"/>
        </w:rPr>
        <w:t>[9] B. S. Costa et al., "Waste Classification Using Transfer Learning with CNNs," Sustain. Comput., 2021, doi: 10.1016/j.suscom.2020.100484.</w:t>
      </w:r>
    </w:p>
    <w:p>
      <w:r>
        <w:rPr>
          <w:rFonts w:ascii="Times New Roman" w:hAnsi="Times New Roman"/>
          <w:sz w:val="16"/>
        </w:rPr>
        <w:t>[10] R. Feldhoff et al., "NIR Reflection Spectroscopy for Identification of Black Plastics," Appl. Spectrosc., vol. 51, no. 3, pp. 362–368, 1997.</w:t>
      </w:r>
    </w:p>
    <w:p>
      <w:r>
        <w:rPr>
          <w:rFonts w:ascii="Times New Roman" w:hAnsi="Times New Roman"/>
          <w:sz w:val="16"/>
        </w:rPr>
        <w:t>[11] L. Serranti, G. Gargiulo, and G. Bonifazi, "Characterization of Post-Consumer Polyolefin Wastes," Waste Manag., vol. 31, no. 11, pp. 2217–2227, 2011.</w:t>
      </w:r>
    </w:p>
    <w:p>
      <w:r>
        <w:rPr>
          <w:rFonts w:ascii="Times New Roman" w:hAnsi="Times New Roman"/>
          <w:sz w:val="16"/>
        </w:rPr>
        <w:t>[12] G. Widner et al., "MIR Spectroscopy for Identification of Recyclable Black Plastics," J. Near Infrared Spectrosc., vol. 28, no. 4, pp. 237–246, 2020.</w:t>
      </w:r>
    </w:p>
    <w:p>
      <w:r>
        <w:rPr>
          <w:rFonts w:ascii="Times New Roman" w:hAnsi="Times New Roman"/>
          <w:sz w:val="16"/>
        </w:rPr>
        <w:t>[13] S. Kumar et al., "YOLOv4-Based Smart Recycling Bin for Waste Classification," IEEE Sens. J., 2021, doi: 10.1109/JSEN.2021.3066456.</w:t>
      </w:r>
    </w:p>
    <w:p>
      <w:r>
        <w:rPr>
          <w:rFonts w:ascii="Times New Roman" w:hAnsi="Times New Roman"/>
          <w:sz w:val="16"/>
        </w:rPr>
        <w:t>[14] Y. Chu et al., "Multilayer Hybrid Deep-Learning Method for Waste Classification and Recycling," Comput. Intell. Neurosci., 2022, doi: 10.1155/2022/1098502.</w:t>
      </w:r>
    </w:p>
    <w:p>
      <w:r>
        <w:rPr>
          <w:rFonts w:ascii="Times New Roman" w:hAnsi="Times New Roman"/>
          <w:sz w:val="16"/>
        </w:rPr>
        <w:t>[15] M. Krizhevsky et al., "RealWaste: A Novel Dataset for Waste Classification in Landfill Scenes," Data in Brief, 2022, doi: 10.1016/j.dib.2022.108528.</w:t>
      </w:r>
    </w:p>
    <w:p>
      <w:r>
        <w:rPr>
          <w:rFonts w:ascii="Times New Roman" w:hAnsi="Times New Roman"/>
          <w:sz w:val="16"/>
        </w:rPr>
        <w:t>[16] D. Bashkirova et al., "ZeroWaste Dataset: Towards Automated Waste Recycling," in Proc. IEEE CVPR, 2022.</w:t>
      </w:r>
    </w:p>
    <w:p>
      <w:r>
        <w:rPr>
          <w:rFonts w:ascii="Times New Roman" w:hAnsi="Times New Roman"/>
          <w:sz w:val="16"/>
        </w:rPr>
        <w:t>[17] P. F. Proença and P. Simões, "TACO: Trash Annotations in Context for Waste Detection," 2020. [Online]. Available: https://arxiv.org/abs/2003.06975.</w:t>
      </w:r>
    </w:p>
    <w:p>
      <w:r>
        <w:rPr>
          <w:rFonts w:ascii="Times New Roman" w:hAnsi="Times New Roman"/>
          <w:sz w:val="16"/>
        </w:rPr>
        <w:t>[18] S. Majchrowska et al., "Waste Detection in Pomerania: A Benchmark for Multi-task Waste Sorting," IEEE Access, 2022, doi: 10.1109/ACCESS.2022.3155660.</w:t>
      </w:r>
    </w:p>
    <w:p>
      <w:r>
        <w:rPr>
          <w:rFonts w:ascii="Times New Roman" w:hAnsi="Times New Roman"/>
          <w:sz w:val="16"/>
        </w:rPr>
        <w:t>[19] A. Signoroni et al., "Hyperspectral Imaging for Plastic Sorting: A Machine Learning Approach," Proc. SPIE, 2019, doi: 10.1117/12.2526027.</w:t>
      </w:r>
    </w:p>
    <w:p>
      <w:r>
        <w:rPr>
          <w:rFonts w:ascii="Times New Roman" w:hAnsi="Times New Roman"/>
          <w:sz w:val="16"/>
        </w:rPr>
        <w:t>[20] M. L. Henriksen et al., "Plastic Classification via NIR Spectroscopy and Deep Learning," Resour. Conserv. Recycl., 2019, doi: 10.1016/j.resconrec.2019.104487.</w:t>
      </w:r>
    </w:p>
    <w:p>
      <w:r>
        <w:rPr>
          <w:rFonts w:ascii="Times New Roman" w:hAnsi="Times New Roman"/>
          <w:sz w:val="16"/>
        </w:rPr>
        <w:t>[21] F. Fotovvatikhah et al., "FTIR-Plastics: A Spectral Library for Polymer Identification," Zenodo, 2024, doi: 10.5281/zenodo.11176740.</w:t>
      </w:r>
    </w:p>
    <w:p>
      <w:r>
        <w:rPr>
          <w:rFonts w:ascii="Times New Roman" w:hAnsi="Times New Roman"/>
          <w:sz w:val="16"/>
        </w:rPr>
        <w:t>[22] G. Koinig et al., "Black Plastic Waste Sorting Using MWIR and Deep Learning," Waste Manag., 2022, doi: 10.1016/j.wasman.2021.11.034.</w:t>
      </w:r>
    </w:p>
    <w:p>
      <w:r>
        <w:rPr>
          <w:rFonts w:ascii="Times New Roman" w:hAnsi="Times New Roman"/>
          <w:sz w:val="16"/>
        </w:rPr>
        <w:t>[23] A. Friedl et al., "Multisensor Fusion for Polymer Sorting of Black Plastics," Resour. Conserv. Recycl., 2019, doi: 10.1016/j.resconrec.2018.11.021.</w:t>
      </w:r>
    </w:p>
    <w:p>
      <w:r>
        <w:rPr>
          <w:rFonts w:ascii="Times New Roman" w:hAnsi="Times New Roman"/>
          <w:sz w:val="16"/>
        </w:rPr>
        <w:t>[24] S. Brunner et al., "Raman Spectral Imaging for Contact-Less Sorting of Black Plastics," Waste Manag., 2015, doi: 10.1016/j.wasman.2015.02.015.</w:t>
      </w:r>
    </w:p>
    <w:p>
      <w:r>
        <w:rPr>
          <w:rFonts w:ascii="Times New Roman" w:hAnsi="Times New Roman"/>
          <w:sz w:val="16"/>
        </w:rPr>
        <w:t>[25] G. Bonifazi et al., "Hyperspectral Imaging for Waste Sorting: A Review," Waste Manag., 2021, doi: 10.1016/j.wasman.2020.11.037.</w:t>
      </w:r>
    </w:p>
    <w:p>
      <w:r>
        <w:rPr>
          <w:rFonts w:ascii="Times New Roman" w:hAnsi="Times New Roman"/>
          <w:sz w:val="16"/>
        </w:rPr>
        <w:t>[26] A. Picon et al., "Waste Plastics Identification by HSI and Deep Learning," Waste Manag., 2022, doi: 10.1016/j.wasman.2022.05.021.</w:t>
      </w:r>
    </w:p>
    <w:p>
      <w:r>
        <w:rPr>
          <w:rFonts w:ascii="Times New Roman" w:hAnsi="Times New Roman"/>
          <w:sz w:val="16"/>
        </w:rPr>
        <w:t>[27] B. Küppers et al., "Influence of Surface Contamination on NIR-Based Plastic Identification," Waste Manag., 2020, doi: 10.1016/j.wasman.2020.05.017.</w:t>
      </w:r>
    </w:p>
    <w:p>
      <w:r>
        <w:rPr>
          <w:rFonts w:ascii="Times New Roman" w:hAnsi="Times New Roman"/>
          <w:sz w:val="16"/>
        </w:rPr>
        <w:t>[28] S. Casao et al., "SpectralWaste: A Multimodal Dataset for Waste Sorting," Zenodo, 2024, doi: 10.5281/zenodo.11499414.</w:t>
      </w:r>
    </w:p>
    <w:p>
      <w:r>
        <w:rPr>
          <w:rFonts w:ascii="Times New Roman" w:hAnsi="Times New Roman"/>
          <w:sz w:val="16"/>
        </w:rPr>
        <w:t>[29] F. Gruber et al., "A Multimodal Sensor Fusion Framework for Automated Waste Sorting," in Proc. IEEE SENSORS, 2021, doi: 10.1109/SENSORS47087.2021.9639787.</w:t>
      </w:r>
    </w:p>
    <w:p>
      <w:r>
        <w:rPr>
          <w:rFonts w:ascii="Times New Roman" w:hAnsi="Times New Roman"/>
          <w:sz w:val="16"/>
        </w:rPr>
        <w:t>[30] Z. Wei et al., "Cross-Modal Swin Transformer for Multimodal Waste Sorting," Waste Manag., 2025, doi: 10.1016/j.wasman.2025.01.012.</w:t>
      </w:r>
    </w:p>
    <w:p>
      <w:r>
        <w:rPr>
          <w:rFonts w:ascii="Times New Roman" w:hAnsi="Times New Roman"/>
          <w:sz w:val="16"/>
        </w:rPr>
        <w:t>[31] R. Edmunds et al., "Using Multimodal Data (RGB, Thermal, NIR) for Plastic Waste Classification," in Proc. IEEE I2MTC, 2022, doi: 10.1109/I2MTC48687.2022.9806695.</w:t>
      </w:r>
    </w:p>
    <w:p>
      <w:r>
        <w:rPr>
          <w:rFonts w:ascii="Times New Roman" w:hAnsi="Times New Roman"/>
          <w:sz w:val="16"/>
        </w:rPr>
        <w:t>[32] F. Hollstein et al., "Sensor-Based Sorting of Polymers by Combining NIR and High-Speed Imaging," tm – Technisches Messen, 2016, doi: 10.1515/teme-2015-0064.</w:t>
      </w:r>
    </w:p>
    <w:p>
      <w:r>
        <w:rPr>
          <w:rFonts w:ascii="Times New Roman" w:hAnsi="Times New Roman"/>
          <w:sz w:val="16"/>
        </w:rPr>
        <w:t>[33] Z. Xu et al., "Attention-Guided Multimodal Deep Learning for Waste Classification," IEEE Trans. Ind. Inform., 2022, doi: 10.1109/TII.2022.3162294.</w:t>
      </w:r>
    </w:p>
    <w:p>
      <w:r>
        <w:rPr>
          <w:rFonts w:ascii="Times New Roman" w:hAnsi="Times New Roman"/>
          <w:sz w:val="16"/>
        </w:rPr>
        <w:t>[34] World Bank, What a Waste 2.0: A Global Snapshot of Solid Waste Management to 2050, Washington, D.C., 2018.</w:t>
      </w:r>
    </w:p>
    <w:p>
      <w:r>
        <w:rPr>
          <w:rFonts w:ascii="Times New Roman" w:hAnsi="Times New Roman"/>
          <w:sz w:val="16"/>
        </w:rPr>
        <w:t>[35] K. He et al., "Deep Residual Learning for Image Recognition," in Proc. IEEE CVPR, 2016, pp. 770–778.</w:t>
      </w:r>
    </w:p>
    <w:p>
      <w:r>
        <w:rPr>
          <w:rFonts w:ascii="Times New Roman" w:hAnsi="Times New Roman"/>
          <w:sz w:val="16"/>
        </w:rPr>
        <w:t>[36] A. G. Howard et al., "MobileNets: Efficient CNNs for Mobile Vision Applications," arXiv:1704.04861, 2017.</w:t>
      </w:r>
    </w:p>
    <w:p>
      <w:r>
        <w:rPr>
          <w:rFonts w:ascii="Times New Roman" w:hAnsi="Times New Roman"/>
          <w:sz w:val="16"/>
        </w:rPr>
        <w:t>[37] J. Redmon and A. Farhadi, "YOLOv3: An Incremental Improvement," arXiv:1804.02767, 2018.</w:t>
      </w:r>
    </w:p>
    <w:p>
      <w:r>
        <w:rPr>
          <w:rFonts w:ascii="Times New Roman" w:hAnsi="Times New Roman"/>
          <w:sz w:val="16"/>
        </w:rPr>
        <w:t>[38] G. Jocher et al., Ultralytics YOLOv11, Ultralytics, 2024. [Online]. Available: https://github.com/ultralytics/ultralytics.</w:t>
      </w:r>
    </w:p>
    <w:p>
      <w:r>
        <w:rPr>
          <w:rFonts w:ascii="Times New Roman" w:hAnsi="Times New Roman"/>
          <w:sz w:val="16"/>
        </w:rPr>
        <w:t>[39] United Nations, "SDG 14: Life Below Water," 2015. [Online]. Available: https://sdgs.un.org/goals/goal14.</w:t>
      </w:r>
    </w:p>
    <w:p>
      <w:r>
        <w:rPr>
          <w:rFonts w:ascii="Times New Roman" w:hAnsi="Times New Roman"/>
          <w:sz w:val="16"/>
        </w:rPr>
        <w:t>[40] United Nations, "SDG 12: Responsible Consumption and Production," 2015. [Online]. Available: https://sdgs.un.org/goals/goal12.</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