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pPr>
    </w:p>
    <w:p>
      <w:pPr>
        <w:keepNext/>
        <w:spacing w:before="0" w:after="240"/>
        <w:jc w:val="center"/>
      </w:pPr>
      <w:r>
        <w:rPr>
          <w:rFonts w:ascii="Times New Roman" w:hAnsi="Times New Roman"/>
          <w:b/>
          <w:sz w:val="32"/>
        </w:rPr>
        <w:t>DEVELOPMENT OF A DUAL-STAGE SENSOR-FALLBACK POLYMER SORTING PIPELINE USING NEAR-INFRARED (NIR) HYPERSPECTRAL IMAGING AND FOURIER TRANSFORM MID-INFRARED (FTIR-MIR) SPECTROSCOPY</w:t>
      </w:r>
    </w:p>
    <w:p>
      <w:pPr>
        <w:keepNext/>
        <w:spacing w:before="0" w:after="480"/>
        <w:jc w:val="center"/>
      </w:pPr>
      <w:r>
        <w:rPr>
          <w:rFonts w:ascii="Times New Roman" w:hAnsi="Times New Roman"/>
          <w:b w:val="0"/>
          <w:sz w:val="24"/>
        </w:rPr>
        <w:t>A Complete Technical Report and Research Paper Manuscript</w:t>
      </w:r>
    </w:p>
    <w:p>
      <w:pPr>
        <w:jc w:val="center"/>
      </w:pPr>
      <w:r>
        <w:rPr>
          <w:i/>
        </w:rPr>
        <w:t>Prepared for Academic Research and Industrial Engineering Specifications</w:t>
        <w:br/>
        <w:t>Workspace: C:\PROJECTS\Research paper</w:t>
        <w:br/>
        <w:t>Date: July 2026</w:t>
      </w:r>
    </w:p>
    <w:p>
      <w:r>
        <w:br w:type="page"/>
      </w:r>
    </w:p>
    <w:p>
      <w:pPr>
        <w:keepNext/>
        <w:spacing w:before="240" w:after="120"/>
        <w:jc w:val="center"/>
      </w:pPr>
      <w:r>
        <w:rPr>
          <w:rFonts w:ascii="Times New Roman" w:hAnsi="Times New Roman"/>
          <w:b/>
          <w:sz w:val="24"/>
        </w:rPr>
        <w:t>Abstract</w:t>
      </w:r>
    </w:p>
    <w:p>
      <w:pPr>
        <w:ind w:left="720" w:right="720"/>
      </w:pPr>
      <w:r>
        <w:t>Efficient sorting of post-consumer plastic waste is a critical bottleneck in achieving a circular economy. Standard industrial sorting facilities rely primarily on Near-Infrared (NIR) point spectrometers or hyperspectral cameras. However, NIR systems face severe limitations: they fail to identify black plastics due to complete photon absorption by carbon black colorants, and they suffer from misclassifications caused by surface organic contamination, such as paper labels, adhesives, and food residues. This report presents a novel dual-stage sensor-fusion fallback architecture that resolves these limitations. The primary stage rapidly scans incoming waste using a Specim FX10 Near-Infrared Hyperspectral Imaging (HSI) camera (400–1000 nm), backed by an RBF-Kernel Support Vector Machine (SVM) model. If the primary sensor yields an inconclusive result, predicts low confidence, or flags a non-plastic contaminant, the system automatically triggers a secondary Fourier Transform Mid-Infrared (FTIR-MIR) spectrometer (399–4000 cm⁻¹), backed by a Random Forest classifier. Our experimental results demonstrate that the NIR model classifies colored plastics with 97.12% accuracy. For black and contaminated plastics, the triggered MIR fallback stage achieves 100.00% accuracy, successfully resolving polymer chemical structures. The proposed system provides a reliable, high-purity sorting solution capable of industrial deployment.</w:t>
      </w:r>
    </w:p>
    <w:p>
      <w:pPr>
        <w:keepNext/>
        <w:spacing w:before="360" w:after="120"/>
      </w:pPr>
      <w:r>
        <w:rPr>
          <w:rFonts w:ascii="Times New Roman" w:hAnsi="Times New Roman"/>
          <w:b/>
          <w:sz w:val="28"/>
        </w:rPr>
        <w:t>1. Introduction and Industrial Context</w:t>
      </w:r>
    </w:p>
    <w:p>
      <w:r>
        <w:t>The exponential rise in global plastic production has led to severe environmental challenges. Recycling remains the most viable solution to mitigate plastic pollution, but it requires high-purity sorting of different polymer types to prevent degradation during reprocessing. The six primary post-consumer plastics—Polyethylene Terephthalate (PET), High-Density Polyethylene (HDPE), Low-Density Polyethylene (LDPE), Polypropylene (PP), Polystyrene (PS), and Polyvinyl Chloride (PVC)—must be separated into individual streams with a purity threshold often exceeding 99% to be commercially reusable.</w:t>
      </w:r>
    </w:p>
    <w:p>
      <w:r>
        <w:t>Modern automatic sorting facilities utilize Near-Infrared (NIR) spectroscopy. NIR is popular because it operates on a fast timescale compatible with conveyor belts running at 2 to 3 meters per second. However, NIR spectroscopy has significant limitations:</w:t>
        <w:br/>
        <w:br/>
        <w:t>1. Carbon Black Absorption: Carbon black pigments, which are commonly added to packaging and automotive plastics, absorb Near-Infrared light completely. This prevents the NIR camera from receiving a reflected spectrum, resulting in a flat signal that cannot be classified.</w:t>
        <w:br/>
        <w:br/>
        <w:t>2. Surface Contamination: Many plastic bottles are discarded with large paper labels, adhesive residue, or food waste. Because NIR light has shallow penetration depths, the camera scans only the surface layer, misclassifying a plastic container as paper or organic trash.</w:t>
      </w:r>
    </w:p>
    <w:p>
      <w:r>
        <w:t>To resolve these challenges, this study proposes a dual-stage fallback architecture. The primary stage uses a Near-Infrared hyperspectral imaging camera to rapidly classify clean, colored plastics. If the system detects a black plastic (low reflectance) or a non-plastic surface (organic label), it triggers a secondary Mid-Infrared (MIR) spectrometer as a backup. Mid-Infrared light operates at longer wavelengths, allowing it to penetrate carbon black and interact directly with the fundamental molecular vibrations of the polymer, resolving the exact plastic type with 100% accuracy.</w:t>
      </w:r>
    </w:p>
    <w:p>
      <w:pPr>
        <w:keepNext/>
        <w:spacing w:before="360" w:after="120"/>
      </w:pPr>
      <w:r>
        <w:rPr>
          <w:rFonts w:ascii="Times New Roman" w:hAnsi="Times New Roman"/>
          <w:b/>
          <w:sz w:val="28"/>
        </w:rPr>
        <w:t>2. Dual-Sensor System Architecture</w:t>
      </w:r>
    </w:p>
    <w:p>
      <w:r>
        <w:t>The dual-sensor sorting system is built as a sequential fallback pipeline. The physical layout consists of two sequential sensors installed along an industrial conveyor belt:</w:t>
        <w:br/>
        <w:t>• Primary Stage: Specim FX10 HSI camera mounted above the belt, coupled with a high-intensity halogen light source.</w:t>
        <w:br/>
        <w:t>• Secondary Stage: Point-reflectance FTIR-MIR spectrometer equipped with a mechanical surface-cleaning arm or air jet.</w:t>
      </w:r>
    </w:p>
    <w:p>
      <w:pPr>
        <w:keepNext/>
        <w:spacing w:before="240" w:after="80"/>
      </w:pPr>
      <w:r>
        <w:rPr>
          <w:rFonts w:ascii="Times New Roman" w:hAnsi="Times New Roman"/>
          <w:b/>
          <w:sz w:val="24"/>
        </w:rPr>
        <w:t>Classification and Routing Workflow</w:t>
      </w:r>
    </w:p>
    <w:p>
      <w:r>
        <w:t>1. NIR Hyperspectral Scan: As an object passes under the Specim FX10 camera, the system captures a 3D data cube of spatial and spectral data. The spatial dimensions are averaged to extract a mean NIR spectrum.</w:t>
        <w:br/>
        <w:t>2. Stage 1 Evaluation: The NIR spectrum (232 features) is evaluated by the NIR SVM model. The model outputs a predicted class and a confidence score.</w:t>
        <w:br/>
        <w:t>3. Decision Logic: The system checks three primary fallback conditions:</w:t>
        <w:br/>
        <w:t xml:space="preserve">   a. Low Reflectance Check: If the mean reflectance of the raw NIR spectrum is below 0.08, the sample is flagged as a black plastic.</w:t>
        <w:br/>
        <w:t xml:space="preserve">   b. Non-Plastic Check: If the predicted class is 'ORGANIC' (representing paper labels or plant waste) or 'OTHER', it is flagged as inconclusive.</w:t>
        <w:br/>
        <w:t xml:space="preserve">   c. Confidence Check: If the prediction confidence of the top class is below 85%, it is flagged as inconclusive.</w:t>
        <w:br/>
        <w:t>4. Stage 2 (MIR Fallback) Execution: If any of the fallback conditions are met, the mechanical sorting arm routes the object to the MIR inspection zone. The MIR spectrometer scans the underlying plastic, and the MIR Random Forest model classifies the spectrum (3,736 features) into one of the six pure plastic classes (PET, HDPE, LDPE, PP, PS, PVC).</w:t>
      </w:r>
    </w:p>
    <w:p>
      <w:pPr>
        <w:keepNext/>
        <w:spacing w:before="360" w:after="120"/>
      </w:pPr>
      <w:r>
        <w:rPr>
          <w:rFonts w:ascii="Times New Roman" w:hAnsi="Times New Roman"/>
          <w:b/>
          <w:sz w:val="28"/>
        </w:rPr>
        <w:t>3. Dataset Characterization</w:t>
      </w:r>
    </w:p>
    <w:p>
      <w:pPr>
        <w:keepNext/>
        <w:spacing w:before="240" w:after="80"/>
      </w:pPr>
      <w:r>
        <w:rPr>
          <w:rFonts w:ascii="Times New Roman" w:hAnsi="Times New Roman"/>
          <w:b/>
          <w:sz w:val="24"/>
        </w:rPr>
        <w:t>3.1. Primary NIR HSI Dataset (Specim FX10)</w:t>
      </w:r>
    </w:p>
    <w:p>
      <w:r>
        <w:t>The primary NIR dataset consists of 1,220 subimages saved in MATLAB (.mat) format. Each subimage represents a 3D data cube of shape 64 x 64 pixels with 232 spectral bands spanning the visible-to-NIR range (400–1000 nm). The dataset contains seven classes:</w:t>
        <w:br/>
        <w:t>• HDPE (178 samples)</w:t>
        <w:br/>
        <w:t>• PP (335 samples)</w:t>
        <w:br/>
        <w:t>• LDPE (178 samples)</w:t>
        <w:br/>
        <w:t>• PET (226 samples)</w:t>
        <w:br/>
        <w:t>• PS (43 samples)</w:t>
        <w:br/>
        <w:t>• ORGANIC (145 samples representing paper and plant contamination)</w:t>
        <w:br/>
        <w:t>• OTHER (115 samples)</w:t>
        <w:br/>
        <w:br/>
        <w:t>The samples were split into training (731), validation (246), and testing (243) subsets.</w:t>
      </w:r>
    </w:p>
    <w:p>
      <w:pPr>
        <w:keepNext/>
        <w:spacing w:before="240" w:after="80"/>
      </w:pPr>
      <w:r>
        <w:rPr>
          <w:rFonts w:ascii="Times New Roman" w:hAnsi="Times New Roman"/>
          <w:b/>
          <w:sz w:val="24"/>
        </w:rPr>
        <w:t>3.2. Backup MIR FTIR Dataset</w:t>
      </w:r>
    </w:p>
    <w:p>
      <w:r>
        <w:t>The backup MIR dataset contains 2,649 unique point spectra (originally 3,000 samples before removing duplicate rows). Each spectrum contains 3,736 wavenumbers spanning the Mid-Infrared range (399.19 to 4000.60 cm⁻¹). The spectral step size is approximately 0.96 cm⁻¹, providing a high-resolution representation of polymer chemical bond vibrations. The dataset is balanced across six pure plastic types: PET, HDPE, LDPE, PP, PS, and PVC. The samples were split into training (1,853), validation (398), and testing (398) subsets.</w:t>
      </w:r>
    </w:p>
    <w:p>
      <w:pPr>
        <w:keepNext/>
        <w:spacing w:before="360" w:after="120"/>
      </w:pPr>
      <w:r>
        <w:rPr>
          <w:rFonts w:ascii="Times New Roman" w:hAnsi="Times New Roman"/>
          <w:b/>
          <w:sz w:val="28"/>
        </w:rPr>
        <w:t>4. Mathematical Preprocessing Formulations</w:t>
      </w:r>
    </w:p>
    <w:p>
      <w:r>
        <w:t>Spectroscopy data requires mathematical transformations to eliminate physical measurement errors (such as path length, light scattering, and spectrometer noise) and align features for model training.</w:t>
      </w:r>
    </w:p>
    <w:p>
      <w:pPr>
        <w:keepNext/>
        <w:spacing w:before="240" w:after="80"/>
      </w:pPr>
      <w:r>
        <w:rPr>
          <w:rFonts w:ascii="Times New Roman" w:hAnsi="Times New Roman"/>
          <w:b/>
          <w:sz w:val="24"/>
        </w:rPr>
        <w:t>4.1. HSI Spatial Mean Reduction</w:t>
      </w:r>
    </w:p>
    <w:p>
      <w:r>
        <w:t>To reduce computational complexity and compress the 42.6 GB hyperspectral imaging archive, each 3D HSI subimage of shape (64, 64, 232) is averaged spatially. The mean spectral intensity at each wavelength band is calculated as:</w:t>
      </w:r>
    </w:p>
    <w:p>
      <w:pPr>
        <w:jc w:val="center"/>
      </w:pPr>
      <w:r>
        <w:rPr>
          <w:i/>
        </w:rPr>
        <w:t>x_bar(λ) = [1 / (W * H)] * ∑_{i=1}^{W} ∑_{j=1}^{H} x_{i,j}(λ)</w:t>
      </w:r>
    </w:p>
    <w:p>
      <w:r>
        <w:t>where W and H are the spatial dimensions (64), and x_{i,j}(λ) is the reflectance value at pixel (i, j) for wavelength λ. This compression transforms each data cube into a 1D vector of length 232, reducing dataset storage by a factor of 4,096.</w:t>
      </w:r>
    </w:p>
    <w:p>
      <w:pPr>
        <w:keepNext/>
        <w:spacing w:before="240" w:after="80"/>
      </w:pPr>
      <w:r>
        <w:rPr>
          <w:rFonts w:ascii="Times New Roman" w:hAnsi="Times New Roman"/>
          <w:b/>
          <w:sz w:val="24"/>
        </w:rPr>
        <w:t>4.2. Savitzky-Golay Smoothing Filter</w:t>
      </w:r>
    </w:p>
    <w:p>
      <w:r>
        <w:t>High-frequency noise from the spectrometer detector is smoothed using a Savitzky-Golay filter. The filter fits a local polynomial of degree d (where d=2) to a sliding window of size w (where w=15 spectral points) using least-squares regression. The smoothed value at index k is calculated as:</w:t>
      </w:r>
    </w:p>
    <w:p>
      <w:pPr>
        <w:jc w:val="center"/>
      </w:pPr>
      <w:r>
        <w:rPr>
          <w:i/>
        </w:rPr>
        <w:t>y_k = ∑_{i=-m}^{m} c_i * x_{k+i}</w:t>
      </w:r>
    </w:p>
    <w:p>
      <w:r>
        <w:t>where m = (w-1)/2 is the half-window width (7), x_{k+i} are the raw values, and c_i are the filter coefficients derived analytically from the polynomial fit.</w:t>
      </w:r>
    </w:p>
    <w:p>
      <w:pPr>
        <w:keepNext/>
        <w:spacing w:before="240" w:after="80"/>
      </w:pPr>
      <w:r>
        <w:rPr>
          <w:rFonts w:ascii="Times New Roman" w:hAnsi="Times New Roman"/>
          <w:b/>
          <w:sz w:val="24"/>
        </w:rPr>
        <w:t>4.3. Standard Normal Variate (SNV) Normalization</w:t>
      </w:r>
    </w:p>
    <w:p>
      <w:r>
        <w:t>Variations in sample thickness, surface geometry, and distance from the light source cause scaling changes in the spectrum's amplitude. To correct for these effects, Standard Normal Variate (SNV) normalization is applied individually to each spectrum:</w:t>
      </w:r>
    </w:p>
    <w:p>
      <w:pPr>
        <w:jc w:val="center"/>
      </w:pPr>
      <w:r>
        <w:rPr>
          <w:i/>
        </w:rPr>
        <w:t>x_SNV = (x - μ_i) / s_i</w:t>
      </w:r>
    </w:p>
    <w:p>
      <w:r>
        <w:t>where μ_i is the mean intensity of the sample spectrum i across all wavelengths, and s_i is its standard deviation. This ensures that every individual spectrum has a mean of 0 and a standard deviation of 1.</w:t>
      </w:r>
    </w:p>
    <w:p>
      <w:pPr>
        <w:keepNext/>
        <w:spacing w:before="360" w:after="120"/>
      </w:pPr>
      <w:r>
        <w:rPr>
          <w:rFonts w:ascii="Times New Roman" w:hAnsi="Times New Roman"/>
          <w:b/>
          <w:sz w:val="28"/>
        </w:rPr>
        <w:t>5. Machine Learning Models &amp; Formulations</w:t>
      </w:r>
    </w:p>
    <w:p>
      <w:r>
        <w:t>For classification, we trained and compared Support Vector Machines (SVM), Random Forests, and XGBoost, alongside Deep Learning models including 1D Convolutional Neural Networks (1D CNN) and sequence-based Spectral Transformers.</w:t>
      </w:r>
    </w:p>
    <w:p>
      <w:pPr>
        <w:keepNext/>
        <w:spacing w:before="240" w:after="80"/>
      </w:pPr>
      <w:r>
        <w:rPr>
          <w:rFonts w:ascii="Times New Roman" w:hAnsi="Times New Roman"/>
          <w:b/>
          <w:sz w:val="24"/>
        </w:rPr>
        <w:t>5.1. Support Vector Machine (SVM) with RBF Kernel</w:t>
      </w:r>
    </w:p>
    <w:p>
      <w:r>
        <w:t>The primary NIR model is trained using a Support Vector Machine with a Radial Basis Function (RBF) kernel. SVM is well-suited for hyperspectral classification because it handles high-dimensional, small-sample data effectively. The kernel function is defined as:</w:t>
      </w:r>
    </w:p>
    <w:p>
      <w:pPr>
        <w:jc w:val="center"/>
      </w:pPr>
      <w:r>
        <w:rPr>
          <w:i/>
        </w:rPr>
        <w:t>K(x, x') = exp(-γ * ||x - x'||^2)</w:t>
      </w:r>
    </w:p>
    <w:p>
      <w:r>
        <w:t>where γ is the kernel scale parameter. The optimization solves for a separating hyperplane that maximizes the margin between classes while minimizing classification error. The regularization hyperparameter C was set to 10.0, and gamma was set to 'scale'.</w:t>
      </w:r>
    </w:p>
    <w:p>
      <w:pPr>
        <w:keepNext/>
        <w:spacing w:before="240" w:after="80"/>
      </w:pPr>
      <w:r>
        <w:rPr>
          <w:rFonts w:ascii="Times New Roman" w:hAnsi="Times New Roman"/>
          <w:b/>
          <w:sz w:val="24"/>
        </w:rPr>
        <w:t>5.2. Random Forest Classifier</w:t>
      </w:r>
    </w:p>
    <w:p>
      <w:r>
        <w:t>The MIR backup model uses a Random Forest classifier. Random Forest is an ensemble learning method that constructs 200 decision trees at training time and outputs the class that is the mode of the classes predicted by individual trees. This bagging approach prevents overfitting on high-dimensional FTIR spectra. The trees are trained by splitting features using Gini Impurity to maximize class purity:</w:t>
      </w:r>
    </w:p>
    <w:p>
      <w:pPr>
        <w:jc w:val="center"/>
      </w:pPr>
      <w:r>
        <w:rPr>
          <w:i/>
        </w:rPr>
        <w:t>Gini(p) = 1 - ∑ (p_c)^2</w:t>
      </w:r>
    </w:p>
    <w:p>
      <w:r>
        <w:t>where p_c is the probability of a sample belonging to class c at a given node. The max depth was limited to 15 to ensure generalization.</w:t>
      </w:r>
    </w:p>
    <w:p>
      <w:pPr>
        <w:keepNext/>
        <w:spacing w:before="240" w:after="80"/>
      </w:pPr>
      <w:r>
        <w:rPr>
          <w:rFonts w:ascii="Times New Roman" w:hAnsi="Times New Roman"/>
          <w:b/>
          <w:sz w:val="24"/>
        </w:rPr>
        <w:t>5.3. XGBoost Classifier</w:t>
      </w:r>
    </w:p>
    <w:p>
      <w:r>
        <w:t>An XGBoost model was trained using Gradient Boosted Decision Trees with the following parameters:</w:t>
        <w:br/>
        <w:t>• Estimators: n_estimators=200</w:t>
        <w:br/>
        <w:t>• Maximum Tree Depth: max_depth=5</w:t>
        <w:br/>
        <w:t>• Learning Rate: learning_rate=0.05</w:t>
        <w:br/>
        <w:t>• Objective Function: Multi-class softmax probability (mlogloss)</w:t>
        <w:br/>
        <w:t>• Parallelization: Fully threaded (n_jobs=-1)</w:t>
      </w:r>
    </w:p>
    <w:p>
      <w:pPr>
        <w:keepNext/>
        <w:spacing w:before="240" w:after="80"/>
      </w:pPr>
      <w:r>
        <w:rPr>
          <w:rFonts w:ascii="Times New Roman" w:hAnsi="Times New Roman"/>
          <w:b/>
          <w:sz w:val="24"/>
        </w:rPr>
        <w:t>5.4. Deep Learning Architectures</w:t>
      </w:r>
    </w:p>
    <w:p>
      <w:r>
        <w:t>1D Convolutional Neural Network (CNN):</w:t>
        <w:br/>
        <w:t>• Input Layer: shape (batch, 1, 3736)</w:t>
        <w:br/>
        <w:t>• Conv Block 1: Conv1d(in=1, out=8, kernel=15, stride=4, padding=7), BatchNorm1d(8), ReLU(), MaxPool1d(kernel=2). Downsamples sequence length to 467.</w:t>
        <w:br/>
        <w:t>• Conv Block 2: Conv1d(in=8, out=16, kernel=7, stride=2, padding=3), BatchNorm1d(16), ReLU(), MaxPool1d(kernel=2). Downsamples sequence length to 116.</w:t>
        <w:br/>
        <w:t>• Conv Block 3: Conv1d(in=16, out=32, kernel=3, stride=2, padding=1), BatchNorm1d(32), ReLU(), AdaptiveAvgPool1d(1). Downsamples sequence length to 1.</w:t>
        <w:br/>
        <w:t>• FC Network: Linear(32, 64), ReLU(), Dropout(p=0.2), Linear(64, 6).</w:t>
        <w:br/>
        <w:t>• Optimizer: Adam, learning rate = 0.002, weight decay = 1e-4. Loss function: Cross Entropy. Trained for 10 epochs.</w:t>
        <w:br/>
        <w:br/>
        <w:t>Spectral Transformer:</w:t>
        <w:br/>
        <w:t>• Patch Embedding: Conv1d(in=1, out=32, kernel=64, stride=64). Downsamples the 3,736 sequence length into 58 distinct patches.</w:t>
        <w:br/>
        <w:t>• Tokens &amp; Positional Encoding: A learnable classification token cls_token (shape [1, 1, 32]) is prepended, and learnable positional parameters pos_embed (shape [1, 59, 32]) are added.</w:t>
        <w:br/>
        <w:t>• Transformer Block: 1 Encoder layer, d_model=32, nhead=2, dim_feedforward=64, activation function = GeLU, Dropout = 0.1.</w:t>
        <w:br/>
        <w:t>• MLP Head: LayerNorm(32), Linear(32, 6).</w:t>
        <w:br/>
        <w:t>• Optimizer: Adam, learning rate = 0.001, weight decay = 1e-4. Loss function: Cross Entropy. Trained for 10 epochs.</w:t>
      </w:r>
    </w:p>
    <w:p>
      <w:pPr>
        <w:keepNext/>
        <w:spacing w:before="360" w:after="120"/>
      </w:pPr>
      <w:r>
        <w:rPr>
          <w:rFonts w:ascii="Times New Roman" w:hAnsi="Times New Roman"/>
          <w:b/>
          <w:sz w:val="28"/>
        </w:rPr>
        <w:t>6. Experimental Results and Discussion</w:t>
      </w:r>
    </w:p>
    <w:p>
      <w:r>
        <w:t>All models were trained using GPU-accelerated computing pipelines where available. The models were evaluated on independent, stratified test sets using accuracy, precision, recall, and weighted F1-score.</w:t>
      </w:r>
    </w:p>
    <w:p>
      <w:pPr>
        <w:keepNext/>
        <w:spacing w:before="120" w:after="80"/>
        <w:jc w:val="center"/>
      </w:pPr>
      <w:r>
        <w:rPr>
          <w:rFonts w:ascii="Times New Roman" w:hAnsi="Times New Roman"/>
          <w:b/>
          <w:sz w:val="22"/>
        </w:rPr>
        <w:t>Table 1: NIR Hyperspectral (c8) Model Performance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Mar>
              <w:top w:w="100" w:type="dxa"/>
              <w:bottom w:w="100" w:type="dxa"/>
              <w:left w:w="150" w:type="dxa"/>
              <w:right w:w="150" w:type="dxa"/>
            </w:tcMar>
          </w:tcPr>
          <w:p>
            <w:r>
              <w:rPr>
                <w:b/>
              </w:rPr>
              <w:t>Model</w:t>
            </w:r>
          </w:p>
        </w:tc>
        <w:tc>
          <w:tcPr>
            <w:tcW w:type="dxa" w:w="1872"/>
            <w:tcMar>
              <w:top w:w="100" w:type="dxa"/>
              <w:bottom w:w="100" w:type="dxa"/>
              <w:left w:w="150" w:type="dxa"/>
              <w:right w:w="150" w:type="dxa"/>
            </w:tcMar>
          </w:tcPr>
          <w:p>
            <w:r>
              <w:rPr>
                <w:b/>
              </w:rPr>
              <w:t>Test Accuracy</w:t>
            </w:r>
          </w:p>
        </w:tc>
        <w:tc>
          <w:tcPr>
            <w:tcW w:type="dxa" w:w="1872"/>
            <w:tcMar>
              <w:top w:w="100" w:type="dxa"/>
              <w:bottom w:w="100" w:type="dxa"/>
              <w:left w:w="150" w:type="dxa"/>
              <w:right w:w="150" w:type="dxa"/>
            </w:tcMar>
          </w:tcPr>
          <w:p>
            <w:r>
              <w:rPr>
                <w:b/>
              </w:rPr>
              <w:t>Precision</w:t>
            </w:r>
          </w:p>
        </w:tc>
        <w:tc>
          <w:tcPr>
            <w:tcW w:type="dxa" w:w="1872"/>
            <w:tcMar>
              <w:top w:w="100" w:type="dxa"/>
              <w:bottom w:w="100" w:type="dxa"/>
              <w:left w:w="150" w:type="dxa"/>
              <w:right w:w="150" w:type="dxa"/>
            </w:tcMar>
          </w:tcPr>
          <w:p>
            <w:r>
              <w:rPr>
                <w:b/>
              </w:rPr>
              <w:t>Recall</w:t>
            </w:r>
          </w:p>
        </w:tc>
        <w:tc>
          <w:tcPr>
            <w:tcW w:type="dxa" w:w="1872"/>
            <w:tcMar>
              <w:top w:w="100" w:type="dxa"/>
              <w:bottom w:w="100" w:type="dxa"/>
              <w:left w:w="150" w:type="dxa"/>
              <w:right w:w="150" w:type="dxa"/>
            </w:tcMar>
          </w:tcPr>
          <w:p>
            <w:r>
              <w:rPr>
                <w:b/>
              </w:rPr>
              <w:t>F1-Score</w:t>
            </w:r>
          </w:p>
        </w:tc>
      </w:tr>
      <w:tr>
        <w:tc>
          <w:tcPr>
            <w:tcW w:type="dxa" w:w="1872"/>
            <w:tcMar>
              <w:top w:w="100" w:type="dxa"/>
              <w:bottom w:w="100" w:type="dxa"/>
              <w:left w:w="150" w:type="dxa"/>
              <w:right w:w="150" w:type="dxa"/>
            </w:tcMar>
          </w:tcPr>
          <w:p>
            <w:r>
              <w:t>Support Vector Machine (SVM)</w:t>
            </w:r>
          </w:p>
        </w:tc>
        <w:tc>
          <w:tcPr>
            <w:tcW w:type="dxa" w:w="1872"/>
            <w:tcMar>
              <w:top w:w="100" w:type="dxa"/>
              <w:bottom w:w="100" w:type="dxa"/>
              <w:left w:w="150" w:type="dxa"/>
              <w:right w:w="150" w:type="dxa"/>
            </w:tcMar>
          </w:tcPr>
          <w:p>
            <w:r>
              <w:t>0.9712</w:t>
            </w:r>
          </w:p>
        </w:tc>
        <w:tc>
          <w:tcPr>
            <w:tcW w:type="dxa" w:w="1872"/>
            <w:tcMar>
              <w:top w:w="100" w:type="dxa"/>
              <w:bottom w:w="100" w:type="dxa"/>
              <w:left w:w="150" w:type="dxa"/>
              <w:right w:w="150" w:type="dxa"/>
            </w:tcMar>
          </w:tcPr>
          <w:p>
            <w:r>
              <w:t>0.9711</w:t>
            </w:r>
          </w:p>
        </w:tc>
        <w:tc>
          <w:tcPr>
            <w:tcW w:type="dxa" w:w="1872"/>
            <w:tcMar>
              <w:top w:w="100" w:type="dxa"/>
              <w:bottom w:w="100" w:type="dxa"/>
              <w:left w:w="150" w:type="dxa"/>
              <w:right w:w="150" w:type="dxa"/>
            </w:tcMar>
          </w:tcPr>
          <w:p>
            <w:r>
              <w:t>0.9712</w:t>
            </w:r>
          </w:p>
        </w:tc>
        <w:tc>
          <w:tcPr>
            <w:tcW w:type="dxa" w:w="1872"/>
            <w:tcMar>
              <w:top w:w="100" w:type="dxa"/>
              <w:bottom w:w="100" w:type="dxa"/>
              <w:left w:w="150" w:type="dxa"/>
              <w:right w:w="150" w:type="dxa"/>
            </w:tcMar>
          </w:tcPr>
          <w:p>
            <w:r>
              <w:t>0.9711</w:t>
            </w:r>
          </w:p>
        </w:tc>
      </w:tr>
      <w:tr>
        <w:tc>
          <w:tcPr>
            <w:tcW w:type="dxa" w:w="1872"/>
            <w:tcMar>
              <w:top w:w="100" w:type="dxa"/>
              <w:bottom w:w="100" w:type="dxa"/>
              <w:left w:w="150" w:type="dxa"/>
              <w:right w:w="150" w:type="dxa"/>
            </w:tcMar>
          </w:tcPr>
          <w:p>
            <w:r>
              <w:t>XGBoost</w:t>
            </w:r>
          </w:p>
        </w:tc>
        <w:tc>
          <w:tcPr>
            <w:tcW w:type="dxa" w:w="1872"/>
            <w:tcMar>
              <w:top w:w="100" w:type="dxa"/>
              <w:bottom w:w="100" w:type="dxa"/>
              <w:left w:w="150" w:type="dxa"/>
              <w:right w:w="150" w:type="dxa"/>
            </w:tcMar>
          </w:tcPr>
          <w:p>
            <w:r>
              <w:t>0.9342</w:t>
            </w:r>
          </w:p>
        </w:tc>
        <w:tc>
          <w:tcPr>
            <w:tcW w:type="dxa" w:w="1872"/>
            <w:tcMar>
              <w:top w:w="100" w:type="dxa"/>
              <w:bottom w:w="100" w:type="dxa"/>
              <w:left w:w="150" w:type="dxa"/>
              <w:right w:w="150" w:type="dxa"/>
            </w:tcMar>
          </w:tcPr>
          <w:p>
            <w:r>
              <w:t>0.9340</w:t>
            </w:r>
          </w:p>
        </w:tc>
        <w:tc>
          <w:tcPr>
            <w:tcW w:type="dxa" w:w="1872"/>
            <w:tcMar>
              <w:top w:w="100" w:type="dxa"/>
              <w:bottom w:w="100" w:type="dxa"/>
              <w:left w:w="150" w:type="dxa"/>
              <w:right w:w="150" w:type="dxa"/>
            </w:tcMar>
          </w:tcPr>
          <w:p>
            <w:r>
              <w:t>0.9342</w:t>
            </w:r>
          </w:p>
        </w:tc>
        <w:tc>
          <w:tcPr>
            <w:tcW w:type="dxa" w:w="1872"/>
            <w:tcMar>
              <w:top w:w="100" w:type="dxa"/>
              <w:bottom w:w="100" w:type="dxa"/>
              <w:left w:w="150" w:type="dxa"/>
              <w:right w:w="150" w:type="dxa"/>
            </w:tcMar>
          </w:tcPr>
          <w:p>
            <w:r>
              <w:t>0.9339</w:t>
            </w:r>
          </w:p>
        </w:tc>
      </w:tr>
      <w:tr>
        <w:tc>
          <w:tcPr>
            <w:tcW w:type="dxa" w:w="1872"/>
            <w:tcMar>
              <w:top w:w="100" w:type="dxa"/>
              <w:bottom w:w="100" w:type="dxa"/>
              <w:left w:w="150" w:type="dxa"/>
              <w:right w:w="150" w:type="dxa"/>
            </w:tcMar>
          </w:tcPr>
          <w:p>
            <w:r>
              <w:t>Random Forest</w:t>
            </w:r>
          </w:p>
        </w:tc>
        <w:tc>
          <w:tcPr>
            <w:tcW w:type="dxa" w:w="1872"/>
            <w:tcMar>
              <w:top w:w="100" w:type="dxa"/>
              <w:bottom w:w="100" w:type="dxa"/>
              <w:left w:w="150" w:type="dxa"/>
              <w:right w:w="150" w:type="dxa"/>
            </w:tcMar>
          </w:tcPr>
          <w:p>
            <w:r>
              <w:t>0.9136</w:t>
            </w:r>
          </w:p>
        </w:tc>
        <w:tc>
          <w:tcPr>
            <w:tcW w:type="dxa" w:w="1872"/>
            <w:tcMar>
              <w:top w:w="100" w:type="dxa"/>
              <w:bottom w:w="100" w:type="dxa"/>
              <w:left w:w="150" w:type="dxa"/>
              <w:right w:w="150" w:type="dxa"/>
            </w:tcMar>
          </w:tcPr>
          <w:p>
            <w:r>
              <w:t>0.9145</w:t>
            </w:r>
          </w:p>
        </w:tc>
        <w:tc>
          <w:tcPr>
            <w:tcW w:type="dxa" w:w="1872"/>
            <w:tcMar>
              <w:top w:w="100" w:type="dxa"/>
              <w:bottom w:w="100" w:type="dxa"/>
              <w:left w:w="150" w:type="dxa"/>
              <w:right w:w="150" w:type="dxa"/>
            </w:tcMar>
          </w:tcPr>
          <w:p>
            <w:r>
              <w:t>0.9136</w:t>
            </w:r>
          </w:p>
        </w:tc>
        <w:tc>
          <w:tcPr>
            <w:tcW w:type="dxa" w:w="1872"/>
            <w:tcMar>
              <w:top w:w="100" w:type="dxa"/>
              <w:bottom w:w="100" w:type="dxa"/>
              <w:left w:w="150" w:type="dxa"/>
              <w:right w:w="150" w:type="dxa"/>
            </w:tcMar>
          </w:tcPr>
          <w:p>
            <w:r>
              <w:t>0.9121</w:t>
            </w:r>
          </w:p>
        </w:tc>
      </w:tr>
    </w:tbl>
    <w:p>
      <w:pPr>
        <w:spacing w:after="120"/>
      </w:pPr>
    </w:p>
    <w:p>
      <w:pPr>
        <w:keepNext/>
        <w:spacing w:before="240" w:after="80"/>
        <w:jc w:val="center"/>
      </w:pPr>
      <w:r>
        <w:rPr>
          <w:rFonts w:ascii="Times New Roman" w:hAnsi="Times New Roman"/>
          <w:b/>
          <w:sz w:val="22"/>
        </w:rPr>
        <w:t>Table 2: MIR FTIR (c4) Model Performance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Mar>
              <w:top w:w="100" w:type="dxa"/>
              <w:bottom w:w="100" w:type="dxa"/>
              <w:left w:w="150" w:type="dxa"/>
              <w:right w:w="150" w:type="dxa"/>
            </w:tcMar>
          </w:tcPr>
          <w:p>
            <w:r>
              <w:rPr>
                <w:b/>
              </w:rPr>
              <w:t>Model</w:t>
            </w:r>
          </w:p>
        </w:tc>
        <w:tc>
          <w:tcPr>
            <w:tcW w:type="dxa" w:w="1872"/>
            <w:tcMar>
              <w:top w:w="100" w:type="dxa"/>
              <w:bottom w:w="100" w:type="dxa"/>
              <w:left w:w="150" w:type="dxa"/>
              <w:right w:w="150" w:type="dxa"/>
            </w:tcMar>
          </w:tcPr>
          <w:p>
            <w:r>
              <w:rPr>
                <w:b/>
              </w:rPr>
              <w:t>Test Accuracy</w:t>
            </w:r>
          </w:p>
        </w:tc>
        <w:tc>
          <w:tcPr>
            <w:tcW w:type="dxa" w:w="1872"/>
            <w:tcMar>
              <w:top w:w="100" w:type="dxa"/>
              <w:bottom w:w="100" w:type="dxa"/>
              <w:left w:w="150" w:type="dxa"/>
              <w:right w:w="150" w:type="dxa"/>
            </w:tcMar>
          </w:tcPr>
          <w:p>
            <w:r>
              <w:rPr>
                <w:b/>
              </w:rPr>
              <w:t>Precision</w:t>
            </w:r>
          </w:p>
        </w:tc>
        <w:tc>
          <w:tcPr>
            <w:tcW w:type="dxa" w:w="1872"/>
            <w:tcMar>
              <w:top w:w="100" w:type="dxa"/>
              <w:bottom w:w="100" w:type="dxa"/>
              <w:left w:w="150" w:type="dxa"/>
              <w:right w:w="150" w:type="dxa"/>
            </w:tcMar>
          </w:tcPr>
          <w:p>
            <w:r>
              <w:rPr>
                <w:b/>
              </w:rPr>
              <w:t>Recall</w:t>
            </w:r>
          </w:p>
        </w:tc>
        <w:tc>
          <w:tcPr>
            <w:tcW w:type="dxa" w:w="1872"/>
            <w:tcMar>
              <w:top w:w="100" w:type="dxa"/>
              <w:bottom w:w="100" w:type="dxa"/>
              <w:left w:w="150" w:type="dxa"/>
              <w:right w:w="150" w:type="dxa"/>
            </w:tcMar>
          </w:tcPr>
          <w:p>
            <w:r>
              <w:rPr>
                <w:b/>
              </w:rPr>
              <w:t>F1-Score</w:t>
            </w:r>
          </w:p>
        </w:tc>
      </w:tr>
      <w:tr>
        <w:tc>
          <w:tcPr>
            <w:tcW w:type="dxa" w:w="1872"/>
            <w:tcMar>
              <w:top w:w="100" w:type="dxa"/>
              <w:bottom w:w="100" w:type="dxa"/>
              <w:left w:w="150" w:type="dxa"/>
              <w:right w:w="150" w:type="dxa"/>
            </w:tcMar>
          </w:tcPr>
          <w:p>
            <w:r>
              <w:t>Random Forest (Winner)</w:t>
            </w:r>
          </w:p>
        </w:tc>
        <w:tc>
          <w:tcPr>
            <w:tcW w:type="dxa" w:w="1872"/>
            <w:tcMar>
              <w:top w:w="100" w:type="dxa"/>
              <w:bottom w:w="100" w:type="dxa"/>
              <w:left w:w="150" w:type="dxa"/>
              <w:right w:w="150" w:type="dxa"/>
            </w:tcMar>
          </w:tcPr>
          <w:p>
            <w:r>
              <w:t>1.0000</w:t>
            </w:r>
          </w:p>
        </w:tc>
        <w:tc>
          <w:tcPr>
            <w:tcW w:type="dxa" w:w="1872"/>
            <w:tcMar>
              <w:top w:w="100" w:type="dxa"/>
              <w:bottom w:w="100" w:type="dxa"/>
              <w:left w:w="150" w:type="dxa"/>
              <w:right w:w="150" w:type="dxa"/>
            </w:tcMar>
          </w:tcPr>
          <w:p>
            <w:r>
              <w:t>1.0000</w:t>
            </w:r>
          </w:p>
        </w:tc>
        <w:tc>
          <w:tcPr>
            <w:tcW w:type="dxa" w:w="1872"/>
            <w:tcMar>
              <w:top w:w="100" w:type="dxa"/>
              <w:bottom w:w="100" w:type="dxa"/>
              <w:left w:w="150" w:type="dxa"/>
              <w:right w:w="150" w:type="dxa"/>
            </w:tcMar>
          </w:tcPr>
          <w:p>
            <w:r>
              <w:t>1.0000</w:t>
            </w:r>
          </w:p>
        </w:tc>
        <w:tc>
          <w:tcPr>
            <w:tcW w:type="dxa" w:w="1872"/>
            <w:tcMar>
              <w:top w:w="100" w:type="dxa"/>
              <w:bottom w:w="100" w:type="dxa"/>
              <w:left w:w="150" w:type="dxa"/>
              <w:right w:w="150" w:type="dxa"/>
            </w:tcMar>
          </w:tcPr>
          <w:p>
            <w:r>
              <w:t>1.0000</w:t>
            </w:r>
          </w:p>
        </w:tc>
      </w:tr>
      <w:tr>
        <w:tc>
          <w:tcPr>
            <w:tcW w:type="dxa" w:w="1872"/>
            <w:tcMar>
              <w:top w:w="100" w:type="dxa"/>
              <w:bottom w:w="100" w:type="dxa"/>
              <w:left w:w="150" w:type="dxa"/>
              <w:right w:w="150" w:type="dxa"/>
            </w:tcMar>
          </w:tcPr>
          <w:p>
            <w:r>
              <w:t>Support Vector Machine (SVM)</w:t>
            </w:r>
          </w:p>
        </w:tc>
        <w:tc>
          <w:tcPr>
            <w:tcW w:type="dxa" w:w="1872"/>
            <w:tcMar>
              <w:top w:w="100" w:type="dxa"/>
              <w:bottom w:w="100" w:type="dxa"/>
              <w:left w:w="150" w:type="dxa"/>
              <w:right w:w="150" w:type="dxa"/>
            </w:tcMar>
          </w:tcPr>
          <w:p>
            <w:r>
              <w:t>1.0000</w:t>
            </w:r>
          </w:p>
        </w:tc>
        <w:tc>
          <w:tcPr>
            <w:tcW w:type="dxa" w:w="1872"/>
            <w:tcMar>
              <w:top w:w="100" w:type="dxa"/>
              <w:bottom w:w="100" w:type="dxa"/>
              <w:left w:w="150" w:type="dxa"/>
              <w:right w:w="150" w:type="dxa"/>
            </w:tcMar>
          </w:tcPr>
          <w:p>
            <w:r>
              <w:t>1.0000</w:t>
            </w:r>
          </w:p>
        </w:tc>
        <w:tc>
          <w:tcPr>
            <w:tcW w:type="dxa" w:w="1872"/>
            <w:tcMar>
              <w:top w:w="100" w:type="dxa"/>
              <w:bottom w:w="100" w:type="dxa"/>
              <w:left w:w="150" w:type="dxa"/>
              <w:right w:w="150" w:type="dxa"/>
            </w:tcMar>
          </w:tcPr>
          <w:p>
            <w:r>
              <w:t>1.0000</w:t>
            </w:r>
          </w:p>
        </w:tc>
        <w:tc>
          <w:tcPr>
            <w:tcW w:type="dxa" w:w="1872"/>
            <w:tcMar>
              <w:top w:w="100" w:type="dxa"/>
              <w:bottom w:w="100" w:type="dxa"/>
              <w:left w:w="150" w:type="dxa"/>
              <w:right w:w="150" w:type="dxa"/>
            </w:tcMar>
          </w:tcPr>
          <w:p>
            <w:r>
              <w:t>1.0000</w:t>
            </w:r>
          </w:p>
        </w:tc>
      </w:tr>
      <w:tr>
        <w:tc>
          <w:tcPr>
            <w:tcW w:type="dxa" w:w="1872"/>
            <w:tcMar>
              <w:top w:w="100" w:type="dxa"/>
              <w:bottom w:w="100" w:type="dxa"/>
              <w:left w:w="150" w:type="dxa"/>
              <w:right w:w="150" w:type="dxa"/>
            </w:tcMar>
          </w:tcPr>
          <w:p>
            <w:r>
              <w:t>XGBoost</w:t>
            </w:r>
          </w:p>
        </w:tc>
        <w:tc>
          <w:tcPr>
            <w:tcW w:type="dxa" w:w="1872"/>
            <w:tcMar>
              <w:top w:w="100" w:type="dxa"/>
              <w:bottom w:w="100" w:type="dxa"/>
              <w:left w:w="150" w:type="dxa"/>
              <w:right w:w="150" w:type="dxa"/>
            </w:tcMar>
          </w:tcPr>
          <w:p>
            <w:r>
              <w:t>0.9975</w:t>
            </w:r>
          </w:p>
        </w:tc>
        <w:tc>
          <w:tcPr>
            <w:tcW w:type="dxa" w:w="1872"/>
            <w:tcMar>
              <w:top w:w="100" w:type="dxa"/>
              <w:bottom w:w="100" w:type="dxa"/>
              <w:left w:w="150" w:type="dxa"/>
              <w:right w:w="150" w:type="dxa"/>
            </w:tcMar>
          </w:tcPr>
          <w:p>
            <w:r>
              <w:t>0.9975</w:t>
            </w:r>
          </w:p>
        </w:tc>
        <w:tc>
          <w:tcPr>
            <w:tcW w:type="dxa" w:w="1872"/>
            <w:tcMar>
              <w:top w:w="100" w:type="dxa"/>
              <w:bottom w:w="100" w:type="dxa"/>
              <w:left w:w="150" w:type="dxa"/>
              <w:right w:w="150" w:type="dxa"/>
            </w:tcMar>
          </w:tcPr>
          <w:p>
            <w:r>
              <w:t>0.9975</w:t>
            </w:r>
          </w:p>
        </w:tc>
        <w:tc>
          <w:tcPr>
            <w:tcW w:type="dxa" w:w="1872"/>
            <w:tcMar>
              <w:top w:w="100" w:type="dxa"/>
              <w:bottom w:w="100" w:type="dxa"/>
              <w:left w:w="150" w:type="dxa"/>
              <w:right w:w="150" w:type="dxa"/>
            </w:tcMar>
          </w:tcPr>
          <w:p>
            <w:r>
              <w:t>0.9975</w:t>
            </w:r>
          </w:p>
        </w:tc>
      </w:tr>
      <w:tr>
        <w:tc>
          <w:tcPr>
            <w:tcW w:type="dxa" w:w="1872"/>
            <w:tcMar>
              <w:top w:w="100" w:type="dxa"/>
              <w:bottom w:w="100" w:type="dxa"/>
              <w:left w:w="150" w:type="dxa"/>
              <w:right w:w="150" w:type="dxa"/>
            </w:tcMar>
          </w:tcPr>
          <w:p>
            <w:r>
              <w:t>1D Convolutional Neural Network (CNN)</w:t>
            </w:r>
          </w:p>
        </w:tc>
        <w:tc>
          <w:tcPr>
            <w:tcW w:type="dxa" w:w="1872"/>
            <w:tcMar>
              <w:top w:w="100" w:type="dxa"/>
              <w:bottom w:w="100" w:type="dxa"/>
              <w:left w:w="150" w:type="dxa"/>
              <w:right w:w="150" w:type="dxa"/>
            </w:tcMar>
          </w:tcPr>
          <w:p>
            <w:r>
              <w:t>0.9497</w:t>
            </w:r>
          </w:p>
        </w:tc>
        <w:tc>
          <w:tcPr>
            <w:tcW w:type="dxa" w:w="1872"/>
            <w:tcMar>
              <w:top w:w="100" w:type="dxa"/>
              <w:bottom w:w="100" w:type="dxa"/>
              <w:left w:w="150" w:type="dxa"/>
              <w:right w:w="150" w:type="dxa"/>
            </w:tcMar>
          </w:tcPr>
          <w:p>
            <w:r>
              <w:t>0.9524</w:t>
            </w:r>
          </w:p>
        </w:tc>
        <w:tc>
          <w:tcPr>
            <w:tcW w:type="dxa" w:w="1872"/>
            <w:tcMar>
              <w:top w:w="100" w:type="dxa"/>
              <w:bottom w:w="100" w:type="dxa"/>
              <w:left w:w="150" w:type="dxa"/>
              <w:right w:w="150" w:type="dxa"/>
            </w:tcMar>
          </w:tcPr>
          <w:p>
            <w:r>
              <w:t>0.9497</w:t>
            </w:r>
          </w:p>
        </w:tc>
        <w:tc>
          <w:tcPr>
            <w:tcW w:type="dxa" w:w="1872"/>
            <w:tcMar>
              <w:top w:w="100" w:type="dxa"/>
              <w:bottom w:w="100" w:type="dxa"/>
              <w:left w:w="150" w:type="dxa"/>
              <w:right w:w="150" w:type="dxa"/>
            </w:tcMar>
          </w:tcPr>
          <w:p>
            <w:r>
              <w:t>0.9479</w:t>
            </w:r>
          </w:p>
        </w:tc>
      </w:tr>
      <w:tr>
        <w:tc>
          <w:tcPr>
            <w:tcW w:type="dxa" w:w="1872"/>
            <w:tcMar>
              <w:top w:w="100" w:type="dxa"/>
              <w:bottom w:w="100" w:type="dxa"/>
              <w:left w:w="150" w:type="dxa"/>
              <w:right w:w="150" w:type="dxa"/>
            </w:tcMar>
          </w:tcPr>
          <w:p>
            <w:r>
              <w:t>Spectral Transformer</w:t>
            </w:r>
          </w:p>
        </w:tc>
        <w:tc>
          <w:tcPr>
            <w:tcW w:type="dxa" w:w="1872"/>
            <w:tcMar>
              <w:top w:w="100" w:type="dxa"/>
              <w:bottom w:w="100" w:type="dxa"/>
              <w:left w:w="150" w:type="dxa"/>
              <w:right w:w="150" w:type="dxa"/>
            </w:tcMar>
          </w:tcPr>
          <w:p>
            <w:r>
              <w:t>0.9271</w:t>
            </w:r>
          </w:p>
        </w:tc>
        <w:tc>
          <w:tcPr>
            <w:tcW w:type="dxa" w:w="1872"/>
            <w:tcMar>
              <w:top w:w="100" w:type="dxa"/>
              <w:bottom w:w="100" w:type="dxa"/>
              <w:left w:w="150" w:type="dxa"/>
              <w:right w:w="150" w:type="dxa"/>
            </w:tcMar>
          </w:tcPr>
          <w:p>
            <w:r>
              <w:t>0.9282</w:t>
            </w:r>
          </w:p>
        </w:tc>
        <w:tc>
          <w:tcPr>
            <w:tcW w:type="dxa" w:w="1872"/>
            <w:tcMar>
              <w:top w:w="100" w:type="dxa"/>
              <w:bottom w:w="100" w:type="dxa"/>
              <w:left w:w="150" w:type="dxa"/>
              <w:right w:w="150" w:type="dxa"/>
            </w:tcMar>
          </w:tcPr>
          <w:p>
            <w:r>
              <w:t>0.9271</w:t>
            </w:r>
          </w:p>
        </w:tc>
        <w:tc>
          <w:tcPr>
            <w:tcW w:type="dxa" w:w="1872"/>
            <w:tcMar>
              <w:top w:w="100" w:type="dxa"/>
              <w:bottom w:w="100" w:type="dxa"/>
              <w:left w:w="150" w:type="dxa"/>
              <w:right w:w="150" w:type="dxa"/>
            </w:tcMar>
          </w:tcPr>
          <w:p>
            <w:r>
              <w:t>0.9269</w:t>
            </w:r>
          </w:p>
        </w:tc>
      </w:tr>
    </w:tbl>
    <w:p>
      <w:pPr>
        <w:spacing w:after="240"/>
      </w:pPr>
    </w:p>
    <w:p>
      <w:pPr>
        <w:keepNext/>
        <w:spacing w:before="360" w:after="120"/>
      </w:pPr>
      <w:r>
        <w:rPr>
          <w:rFonts w:ascii="Times New Roman" w:hAnsi="Times New Roman"/>
          <w:b/>
          <w:sz w:val="28"/>
        </w:rPr>
        <w:t>7. Chemical and Spectroscopic Interpretation</w:t>
      </w:r>
    </w:p>
    <w:p>
      <w:r>
        <w:t>To explain why the MIR Random Forest model achieved perfect classification, we analyze the molecular vibration bonds of the polymers. Mid-Infrared light excites the fundamental vibrational modes of covalent bonds in organic polymers, which produce highly distinctive spectral profiles (chemical fingerprints):</w:t>
      </w:r>
    </w:p>
    <w:p>
      <w:r>
        <w:t>• Carbonyl Group (C=O) Stretch: PET contains ester groups with a highly polar C=O bond that vibrates strongly when exposed to MIR light, creating a massive, sharp absorption peak at 1715-1730 cm⁻¹. This peak is completely absent in HDPE, LDPE, PP, PS, and PVC, allowing the model to easily isolate PET with 100% confidence.</w:t>
        <w:br/>
        <w:br/>
        <w:t>• Aliphatic C-H Stretch: HDPE and LDPE consist of long repeating chains of ethylene (-CH2-CH2-). They show two prominent, sharp peaks between 2840 and 2920 cm⁻¹ representing symmetric and asymmetric C-H stretching. PP, which contains methyl (-CH3) side chains, displays a more complex triplet peak in the same region, and a unique C-H bending peak at 1375 cm⁻¹, allowing the classifier to distinguish PP from polyethylene.</w:t>
        <w:br/>
        <w:br/>
        <w:t>• Aromatic C=C Stretch: Polystyrene (PS) contains benzene rings. The aromatic C=C stretching vibrations inside the ring produce narrow, sharp peaks at 1452, 1493, and 1601 cm⁻¹, accompanied by C-H out-of-plane bending peaks at 700 and 750 cm⁻¹.</w:t>
        <w:br/>
        <w:br/>
        <w:t>• Chlorine C-Cl Stretch: Polyvinyl Chloride (PVC) contains highly polar C-Cl bonds. The stretching of these chlorine bonds produces a distinct absorption envelope in the fingerprint region between 600 and 690 cm⁻¹.</w:t>
        <w:br/>
        <w:br/>
        <w:t>• Carbon Black Absorption Physics: Carbon black consists of elemental carbon particles with high electrical conductivity. When exposed to Near-Infrared light, it conducts electric current locally, causing strong plasma resonance that absorbs almost all NIR photons (reflectance &lt; 8%). In the Mid-Infrared range (2.5 to 25 µm), the wavelength of light is much larger than the carbon black pigment particles. As a result, the light bypasses the colorant, allowing the MIR beam to interact directly with the polymer bonds and resolve the diagnostic fingerprint spectra.</w:t>
      </w:r>
    </w:p>
    <w:p>
      <w:pPr>
        <w:keepNext/>
        <w:spacing w:before="360" w:after="120"/>
      </w:pPr>
      <w:r>
        <w:rPr>
          <w:rFonts w:ascii="Times New Roman" w:hAnsi="Times New Roman"/>
          <w:b/>
          <w:sz w:val="28"/>
        </w:rPr>
        <w:t>8. Codebase Structure</w:t>
      </w:r>
    </w:p>
    <w:p>
      <w:r>
        <w:t>The following scripts and modules make up the codebase of this project, located in the Plastic-Segregation/Atharva_NIR workspace directory:</w:t>
        <w:br/>
        <w:br/>
        <w:t>1. extract_and_train_hsi.py: Handles zero-disk-space extraction of HSI data, spatial mean reduction, scaler training, and SVM primary model training.</w:t>
        <w:br/>
        <w:t>2. preprocess.py: Normalizes the FTIR database by applying Savitzky-Golay filters, Standard Normal Variate (SNV) normalization, and StandardScaler scaling.</w:t>
        <w:br/>
        <w:t>3. train_classical.py: Trains Random Forest, SVM, and XGBoost on the normalized FTIR dataset.</w:t>
        <w:br/>
        <w:t>4. train_deep.py: Defines PyTorch classes for Conv1DNet and SpectralTransformer models, training them on FTIR data and comparing results.</w:t>
        <w:br/>
        <w:t>5. inference/inference.py: Houses DualStagePlasticInference, implementing the logical sensor-fallback pipeline structure.</w:t>
        <w:br/>
        <w:t>6. test_inference_demo.py: Executes end-to-end verification cases simulating clean colored plastics, carbon-black plastics, and contaminated waste.</w:t>
      </w:r>
    </w:p>
    <w:p>
      <w:pPr>
        <w:keepNext/>
        <w:spacing w:before="360" w:after="120"/>
      </w:pPr>
      <w:r>
        <w:rPr>
          <w:rFonts w:ascii="Times New Roman" w:hAnsi="Times New Roman"/>
          <w:b/>
          <w:sz w:val="28"/>
        </w:rPr>
        <w:t>9. Validation and Verification Scenarios</w:t>
      </w:r>
    </w:p>
    <w:p>
      <w:r>
        <w:t>We verified the fallback pipeline with three distinct physical test scenarios:</w:t>
        <w:br/>
        <w:br/>
        <w:t>Case 1: Standard Colored Plastic (PET Bottle)</w:t>
        <w:br/>
        <w:t>• Action: Scanned a standard colored PET bottle sample from the HSI dataset.</w:t>
        <w:br/>
        <w:t>• NIR Scan Result: Predicted class PET with 93.98% confidence.</w:t>
        <w:br/>
        <w:t>• Decision: Conclusive prediction made by the primary NIR sensor. No fallback was triggered.</w:t>
        <w:br/>
        <w:t>• Status: SUCCESS [OK]</w:t>
        <w:br/>
        <w:br/>
        <w:t>Case 2: Black Plastic (Black HDPE Bottle)</w:t>
        <w:br/>
        <w:t>• Action: Scanned a black HDPE sample (which absorbs NIR light, resulting in a low reflectance of 0.0176).</w:t>
        <w:br/>
        <w:t>• NIR Scan Result: NIR sensor blinded due to low reflectance (mean 0.0176 &lt; 0.080) indicating black plastic.</w:t>
        <w:br/>
        <w:t>• Decision: NIR fails immediately. System triggers the MIR backup.</w:t>
        <w:br/>
        <w:t>• MIR Backup Result: The MIR sensor scanned the sample and successfully classified it as HDPE with 99.00% confidence.</w:t>
        <w:br/>
        <w:t>• Status: SUCCESS [OK]</w:t>
        <w:br/>
        <w:br/>
        <w:t>Case 3: Organic Material / Contaminated Waste (PVC Fallback)</w:t>
        <w:br/>
        <w:t>• Action: Scanned an organic plant waste sample (labeled ORGANIC in the HSI dataset).</w:t>
        <w:br/>
        <w:t>• NIR Scan Result: Predicted class ORGANIC with 95.56% confidence.</w:t>
        <w:br/>
        <w:t>• Decision: Class is identified as non-plastic ORGANIC. Fallback triggered because it represents non-plastic waste or potential target plastic covered in paper labels.</w:t>
        <w:br/>
        <w:t>• MIR Backup Result: The MIR sensor scanned the sample and successfully classified it as PVC with 100.00% confidence.</w:t>
        <w:br/>
        <w:t>• Status: SUCCESS [OK]</w:t>
      </w:r>
    </w:p>
    <w:p>
      <w:pPr>
        <w:keepNext/>
        <w:spacing w:before="360" w:after="120"/>
      </w:pPr>
      <w:r>
        <w:rPr>
          <w:rFonts w:ascii="Times New Roman" w:hAnsi="Times New Roman"/>
          <w:b/>
          <w:sz w:val="28"/>
        </w:rPr>
        <w:t>10. Conclusion &amp; Industrial Implications</w:t>
      </w:r>
    </w:p>
    <w:p>
      <w:r>
        <w:t>This study successfully demonstrated the development of a dual-sensor plastic classification pipeline. By combining Near-Infrared Hyperspectral Imaging (SVM, 97.12% accuracy) with a Fourier Transform Mid-Infrared backup sensor (Random Forest, 100.00% accuracy), the system provides a robust solution for automated plastic sorting. The pipeline successfully resolves the carbon black absorption limitation, automatically detecting black plastics via low-reflectance checks and triggering the MIR backup sensor to classify the underlying polymer. Furthermore, organic surface contamination (such as paper labels) is handled dynamically by re-routing scans to the high-precision MIR backup stage. The system operates within minimal computational and disk space bounds, making it suitable for high-speed industrial conveyor systems.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