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Project Status Report</w:t>
      </w:r>
    </w:p>
    <w:p>
      <w:pPr>
        <w:spacing w:after="40"/>
      </w:pPr>
      <w:r>
        <w:rPr>
          <w:rFonts w:ascii="Calibri" w:cs="Calibri" w:eastAsia="Calibri" w:hAnsi="Calibri"/>
          <w:b/>
          <w:bCs/>
          <w:color w:val="2E5090"/>
          <w:sz w:val="26"/>
          <w:szCs w:val="26"/>
        </w:rPr>
        <w:t xml:space="preserve">AI + Sensor-Based Plastic Waste Sorting System</w:t>
      </w:r>
    </w:p>
    <w:p>
      <w:pPr>
        <w:spacing w:after="40"/>
      </w:pPr>
      <w:r>
        <w:rPr>
          <w:rFonts w:ascii="Calibri" w:cs="Calibri" w:eastAsia="Calibri" w:hAnsi="Calibri"/>
          <w:i/>
          <w:iCs/>
          <w:sz w:val="22"/>
          <w:szCs w:val="22"/>
        </w:rPr>
        <w:t xml:space="preserve">For review with faculty advisor, ahead of paper/patent submission</w:t>
      </w:r>
    </w:p>
    <w:p>
      <w:pPr>
        <w:spacing w:after="300"/>
      </w:pPr>
      <w:r>
        <w:rPr>
          <w:rFonts w:ascii="Calibri" w:cs="Calibri" w:eastAsia="Calibri" w:hAnsi="Calibri"/>
          <w:sz w:val="22"/>
          <w:szCs w:val="22"/>
        </w:rPr>
        <w:t xml:space="preserve">Date: August 2026</w:t>
      </w:r>
    </w:p>
    <w:p>
      <w:pPr>
        <w:pStyle w:val="Heading1"/>
        <w:spacing w:after="150" w:before="300"/>
      </w:pPr>
      <w:r>
        <w:t xml:space="preserve">1. Purpose of this document</w:t>
      </w:r>
    </w:p>
    <w:p>
      <w:pPr>
        <w:spacing w:after="160"/>
      </w:pPr>
      <w:r>
        <w:rPr>
          <w:rFonts w:ascii="Calibri" w:cs="Calibri" w:eastAsia="Calibri" w:hAnsi="Calibri"/>
          <w:sz w:val="22"/>
          <w:szCs w:val="22"/>
        </w:rPr>
        <w:t xml:space="preserve">This summarizes the current, verified state of the project's technical results — separating what is measured and reproducible from what is still synthetic/simulated or blocked on missing hardware/data — so that any claims going into the paper or patent draft are ones we can defend if asked to reproduce them.</w:t>
      </w:r>
    </w:p>
    <w:p>
      <w:pPr>
        <w:pStyle w:val="Heading1"/>
        <w:spacing w:after="150" w:before="300"/>
      </w:pPr>
      <w:r>
        <w:t xml:space="preserve">2. System overview</w:t>
      </w:r>
    </w:p>
    <w:p>
      <w:pPr>
        <w:spacing w:after="160"/>
      </w:pPr>
      <w:r>
        <w:rPr>
          <w:rFonts w:ascii="Calibri" w:cs="Calibri" w:eastAsia="Calibri" w:hAnsi="Calibri"/>
          <w:sz w:val="22"/>
          <w:szCs w:val="22"/>
        </w:rPr>
        <w:t xml:space="preserve">The system performs multi-stage plastic waste classification: a vision stage (YOLO-based detection), followed by spectral confirmation using NIR and MIR (FTIR) sensing, with an Adaptive Confidence Engine (ACE) that learns when to escalate from NIR to the slower, more expensive MIR stage instead of using a fixed confidence threshold. A newer, complementary module — the Expected Failure Predictor (EFP) — aims to predict before running NIR whether it's likely to fail (e.g. on dark/carbon-black items), allowing the system to skip straight to MIR.</w:t>
      </w:r>
    </w:p>
    <w:p>
      <w:pPr>
        <w:pStyle w:val="Heading1"/>
        <w:spacing w:after="150" w:before="300"/>
      </w:pPr>
      <w:r>
        <w:t xml:space="preserve">3. What is validated and can be cited with confidence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c>
          <w:tcPr>
            <w:tcW w:type="dxa" w:w="2600"/>
            <w:shd w:fill="2E5090" w:val="clear"/>
            <w:tcMar>
              <w:top w:type="dxa" w:w="80"/>
              <w:left w:type="dxa" w:w="100"/>
              <w:bottom w:type="dxa" w:w="80"/>
              <w:right w:type="dxa" w:w="100"/>
            </w:tcMar>
          </w:tcPr>
          <w:p>
            <w:r>
              <w:rPr>
                <w:rFonts w:ascii="Calibri" w:cs="Calibri" w:eastAsia="Calibri" w:hAnsi="Calibri"/>
                <w:b/>
                <w:bCs/>
                <w:color w:val="FFFFFF"/>
                <w:sz w:val="20"/>
                <w:szCs w:val="20"/>
              </w:rPr>
              <w:t xml:space="preserve">Result</w:t>
            </w:r>
          </w:p>
        </w:tc>
        <w:tc>
          <w:tcPr>
            <w:tcW w:type="dxa" w:w="2600"/>
            <w:shd w:fill="2E5090"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c>
          <w:tcPr>
            <w:tcW w:type="dxa" w:w="4200"/>
            <w:shd w:fill="2E5090" w:val="clear"/>
            <w:tcMar>
              <w:top w:type="dxa" w:w="80"/>
              <w:left w:type="dxa" w:w="100"/>
              <w:bottom w:type="dxa" w:w="80"/>
              <w:right w:type="dxa" w:w="100"/>
            </w:tcMar>
          </w:tcPr>
          <w:p>
            <w:r>
              <w:rPr>
                <w:rFonts w:ascii="Calibri" w:cs="Calibri" w:eastAsia="Calibri" w:hAnsi="Calibri"/>
                <w:b/>
                <w:bCs/>
                <w:color w:val="FFFFFF"/>
                <w:sz w:val="20"/>
                <w:szCs w:val="20"/>
              </w:rPr>
              <w:t xml:space="preserve">Basis</w:t>
            </w:r>
          </w:p>
        </w:tc>
      </w:tr>
      <w:tr>
        <w:tc>
          <w:tcPr>
            <w:tcW w:type="dxa" w:w="2600"/>
            <w:tcMar>
              <w:top w:type="dxa" w:w="80"/>
              <w:left w:type="dxa" w:w="100"/>
              <w:bottom w:type="dxa" w:w="80"/>
              <w:right w:type="dxa" w:w="100"/>
            </w:tcMar>
          </w:tcPr>
          <w:p>
            <w:r>
              <w:rPr>
                <w:rFonts w:ascii="Calibri" w:cs="Calibri" w:eastAsia="Calibri" w:hAnsi="Calibri"/>
                <w:sz w:val="20"/>
                <w:szCs w:val="20"/>
              </w:rPr>
              <w:t xml:space="preserve">MIR (FTIR) classical classifier accuracy</w:t>
            </w:r>
          </w:p>
        </w:tc>
        <w:tc>
          <w:tcPr>
            <w:tcW w:type="dxa" w:w="2600"/>
            <w:tcMar>
              <w:top w:type="dxa" w:w="80"/>
              <w:left w:type="dxa" w:w="100"/>
              <w:bottom w:type="dxa" w:w="80"/>
              <w:right w:type="dxa" w:w="100"/>
            </w:tcMar>
          </w:tcPr>
          <w:p>
            <w:r>
              <w:rPr>
                <w:rFonts w:ascii="Calibri" w:cs="Calibri" w:eastAsia="Calibri" w:hAnsi="Calibri"/>
                <w:sz w:val="20"/>
                <w:szCs w:val="20"/>
              </w:rPr>
              <w:t xml:space="preserve">RandomForest/SVM/XGBoost, 99.75–100% test accuracy</w:t>
            </w:r>
          </w:p>
        </w:tc>
        <w:tc>
          <w:tcPr>
            <w:tcW w:type="dxa" w:w="4200"/>
            <w:tcMar>
              <w:top w:type="dxa" w:w="80"/>
              <w:left w:type="dxa" w:w="100"/>
              <w:bottom w:type="dxa" w:w="80"/>
              <w:right w:type="dxa" w:w="100"/>
            </w:tcMar>
          </w:tcPr>
          <w:p>
            <w:r>
              <w:rPr>
                <w:rFonts w:ascii="Calibri" w:cs="Calibri" w:eastAsia="Calibri" w:hAnsi="Calibri"/>
                <w:sz w:val="20"/>
                <w:szCs w:val="20"/>
              </w:rPr>
              <w:t xml:space="preserve">Real FTIR spectral dataset, 2,649 samples, 6 polymer classes (HDPE, LDPE, PET, PP, PS, PVC). Verified independently: zero exact-row overlap between train and test sets — the near-perfect accuracy is not an artifact of data leakage.</w:t>
            </w:r>
          </w:p>
        </w:tc>
      </w:tr>
      <w:tr>
        <w:tc>
          <w:tcPr>
            <w:tcW w:type="dxa" w:w="2600"/>
            <w:tcMar>
              <w:top w:type="dxa" w:w="80"/>
              <w:left w:type="dxa" w:w="100"/>
              <w:bottom w:type="dxa" w:w="80"/>
              <w:right w:type="dxa" w:w="100"/>
            </w:tcMar>
          </w:tcPr>
          <w:p>
            <w:r>
              <w:rPr>
                <w:rFonts w:ascii="Calibri" w:cs="Calibri" w:eastAsia="Calibri" w:hAnsi="Calibri"/>
                <w:sz w:val="20"/>
                <w:szCs w:val="20"/>
              </w:rPr>
              <w:t xml:space="preserve">MIR deep learning classifiers</w:t>
            </w:r>
          </w:p>
        </w:tc>
        <w:tc>
          <w:tcPr>
            <w:tcW w:type="dxa" w:w="2600"/>
            <w:tcMar>
              <w:top w:type="dxa" w:w="80"/>
              <w:left w:type="dxa" w:w="100"/>
              <w:bottom w:type="dxa" w:w="80"/>
              <w:right w:type="dxa" w:w="100"/>
            </w:tcMar>
          </w:tcPr>
          <w:p>
            <w:r>
              <w:rPr>
                <w:rFonts w:ascii="Calibri" w:cs="Calibri" w:eastAsia="Calibri" w:hAnsi="Calibri"/>
                <w:sz w:val="20"/>
                <w:szCs w:val="20"/>
              </w:rPr>
              <w:t xml:space="preserve">1D-CNN 94.97%, SpectralTransformer 92.71% test accuracy</w:t>
            </w:r>
          </w:p>
        </w:tc>
        <w:tc>
          <w:tcPr>
            <w:tcW w:type="dxa" w:w="4200"/>
            <w:tcMar>
              <w:top w:type="dxa" w:w="80"/>
              <w:left w:type="dxa" w:w="100"/>
              <w:bottom w:type="dxa" w:w="80"/>
              <w:right w:type="dxa" w:w="100"/>
            </w:tcMar>
          </w:tcPr>
          <w:p>
            <w:r>
              <w:rPr>
                <w:rFonts w:ascii="Calibri" w:cs="Calibri" w:eastAsia="Calibri" w:hAnsi="Calibri"/>
                <w:sz w:val="20"/>
                <w:szCs w:val="20"/>
              </w:rPr>
              <w:t xml:space="preserve">Same real dataset.</w:t>
            </w:r>
          </w:p>
        </w:tc>
      </w:tr>
      <w:tr>
        <w:tc>
          <w:tcPr>
            <w:tcW w:type="dxa" w:w="2600"/>
            <w:tcMar>
              <w:top w:type="dxa" w:w="80"/>
              <w:left w:type="dxa" w:w="100"/>
              <w:bottom w:type="dxa" w:w="80"/>
              <w:right w:type="dxa" w:w="100"/>
            </w:tcMar>
          </w:tcPr>
          <w:p>
            <w:r>
              <w:rPr>
                <w:rFonts w:ascii="Calibri" w:cs="Calibri" w:eastAsia="Calibri" w:hAnsi="Calibri"/>
                <w:sz w:val="20"/>
                <w:szCs w:val="20"/>
              </w:rPr>
              <w:t xml:space="preserve">NIR-HSI classifiers</w:t>
            </w:r>
          </w:p>
        </w:tc>
        <w:tc>
          <w:tcPr>
            <w:tcW w:type="dxa" w:w="2600"/>
            <w:tcMar>
              <w:top w:type="dxa" w:w="80"/>
              <w:left w:type="dxa" w:w="100"/>
              <w:bottom w:type="dxa" w:w="80"/>
              <w:right w:type="dxa" w:w="100"/>
            </w:tcMar>
          </w:tcPr>
          <w:p>
            <w:r>
              <w:rPr>
                <w:rFonts w:ascii="Calibri" w:cs="Calibri" w:eastAsia="Calibri" w:hAnsi="Calibri"/>
                <w:sz w:val="20"/>
                <w:szCs w:val="20"/>
              </w:rPr>
              <w:t xml:space="preserve">RandomForest 91.4%, SVM 97.1%, XGBoost 93.4% test accuracy</w:t>
            </w:r>
          </w:p>
        </w:tc>
        <w:tc>
          <w:tcPr>
            <w:tcW w:type="dxa" w:w="4200"/>
            <w:tcMar>
              <w:top w:type="dxa" w:w="80"/>
              <w:left w:type="dxa" w:w="100"/>
              <w:bottom w:type="dxa" w:w="80"/>
              <w:right w:type="dxa" w:w="100"/>
            </w:tcMar>
          </w:tcPr>
          <w:p>
            <w:r>
              <w:rPr>
                <w:rFonts w:ascii="Calibri" w:cs="Calibri" w:eastAsia="Calibri" w:hAnsi="Calibri"/>
                <w:sz w:val="20"/>
                <w:szCs w:val="20"/>
              </w:rPr>
              <w:t xml:space="preserve">Real spectral results; raw hyperspectral data itself not independently re-verifiable at this time (see Section 5).</w:t>
            </w:r>
          </w:p>
        </w:tc>
      </w:tr>
      <w:tr>
        <w:tc>
          <w:tcPr>
            <w:tcW w:type="dxa" w:w="2600"/>
            <w:tcMar>
              <w:top w:type="dxa" w:w="80"/>
              <w:left w:type="dxa" w:w="100"/>
              <w:bottom w:type="dxa" w:w="80"/>
              <w:right w:type="dxa" w:w="100"/>
            </w:tcMar>
          </w:tcPr>
          <w:p>
            <w:r>
              <w:rPr>
                <w:rFonts w:ascii="Calibri" w:cs="Calibri" w:eastAsia="Calibri" w:hAnsi="Calibri"/>
                <w:sz w:val="20"/>
                <w:szCs w:val="20"/>
              </w:rPr>
              <w:t xml:space="preserve">ACE adaptive-threshold mechanism</w:t>
            </w:r>
          </w:p>
        </w:tc>
        <w:tc>
          <w:tcPr>
            <w:tcW w:type="dxa" w:w="2600"/>
            <w:tcMar>
              <w:top w:type="dxa" w:w="80"/>
              <w:left w:type="dxa" w:w="100"/>
              <w:bottom w:type="dxa" w:w="80"/>
              <w:right w:type="dxa" w:w="100"/>
            </w:tcMar>
          </w:tcPr>
          <w:p>
            <w:r>
              <w:rPr>
                <w:rFonts w:ascii="Calibri" w:cs="Calibri" w:eastAsia="Calibri" w:hAnsi="Calibri"/>
                <w:sz w:val="20"/>
                <w:szCs w:val="20"/>
              </w:rPr>
              <w:t xml:space="preserve">Functional, 17-feature XGBoost model</w:t>
            </w:r>
          </w:p>
        </w:tc>
        <w:tc>
          <w:tcPr>
            <w:tcW w:type="dxa" w:w="4200"/>
            <w:tcMar>
              <w:top w:type="dxa" w:w="80"/>
              <w:left w:type="dxa" w:w="100"/>
              <w:bottom w:type="dxa" w:w="80"/>
              <w:right w:type="dxa" w:w="100"/>
            </w:tcMar>
          </w:tcPr>
          <w:p>
            <w:r>
              <w:rPr>
                <w:rFonts w:ascii="Calibri" w:cs="Calibri" w:eastAsia="Calibri" w:hAnsi="Calibri"/>
                <w:sz w:val="20"/>
                <w:szCs w:val="20"/>
              </w:rPr>
              <w:t xml:space="preserve">Trained on a physics-based synthetic generator modeling lighting, sensor noise, and environmental drift — architecture and integration are real and working; the training data is synthetic, not field-collected.</w:t>
            </w:r>
          </w:p>
        </w:tc>
      </w:tr>
    </w:tbl>
    <w:p>
      <w:pPr>
        <w:spacing w:after="120"/>
      </w:pPr>
    </w:p>
    <w:p>
      <w:pPr>
        <w:spacing w:after="160"/>
      </w:pPr>
      <w:r>
        <w:rPr>
          <w:rFonts w:ascii="Calibri" w:cs="Calibri" w:eastAsia="Calibri" w:hAnsi="Calibri"/>
          <w:b/>
          <w:bCs/>
          <w:sz w:val="22"/>
          <w:szCs w:val="22"/>
        </w:rPr>
        <w:t xml:space="preserve">Note on the near-100% MIR accuracy: </w:t>
      </w:r>
      <w:r>
        <w:rPr>
          <w:rFonts w:ascii="Calibri" w:cs="Calibri" w:eastAsia="Calibri" w:hAnsi="Calibri"/>
          <w:sz w:val="22"/>
          <w:szCs w:val="22"/>
        </w:rPr>
        <w:t xml:space="preserve">this level of separability is plausible for clean, lab-prepared FTIR spectra of distinct polymer types and is consistent with prior published work (e.g. Serranti et al., 2012). It should still be reported with the caveat that it reflects lab conditions, not field/contaminated samples.</w:t>
      </w:r>
    </w:p>
    <w:p>
      <w:pPr>
        <w:pStyle w:val="Heading1"/>
        <w:spacing w:after="150" w:before="300"/>
      </w:pPr>
      <w:r>
        <w:t xml:space="preserve">4. What is NOT yet validated — should not be presented as measured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c>
          <w:tcPr>
            <w:tcW w:type="dxa" w:w="3000"/>
            <w:shd w:fill="2E5090" w:val="clear"/>
            <w:tcMar>
              <w:top w:type="dxa" w:w="80"/>
              <w:left w:type="dxa" w:w="100"/>
              <w:bottom w:type="dxa" w:w="80"/>
              <w:right w:type="dxa" w:w="100"/>
            </w:tcMar>
          </w:tcPr>
          <w:p>
            <w:r>
              <w:rPr>
                <w:rFonts w:ascii="Calibri" w:cs="Calibri" w:eastAsia="Calibri" w:hAnsi="Calibri"/>
                <w:b/>
                <w:bCs/>
                <w:color w:val="FFFFFF"/>
                <w:sz w:val="20"/>
                <w:szCs w:val="20"/>
              </w:rPr>
              <w:t xml:space="preserve">Item</w:t>
            </w:r>
          </w:p>
        </w:tc>
        <w:tc>
          <w:tcPr>
            <w:tcW w:type="dxa" w:w="2400"/>
            <w:shd w:fill="2E5090" w:val="clear"/>
            <w:tcMar>
              <w:top w:type="dxa" w:w="80"/>
              <w:left w:type="dxa" w:w="100"/>
              <w:bottom w:type="dxa" w:w="80"/>
              <w:right w:type="dxa" w:w="100"/>
            </w:tcMar>
          </w:tcPr>
          <w:p>
            <w:r>
              <w:rPr>
                <w:rFonts w:ascii="Calibri" w:cs="Calibri" w:eastAsia="Calibri" w:hAnsi="Calibri"/>
                <w:b/>
                <w:bCs/>
                <w:color w:val="FFFFFF"/>
                <w:sz w:val="20"/>
                <w:szCs w:val="20"/>
              </w:rPr>
              <w:t xml:space="preserve">Current status</w:t>
            </w:r>
          </w:p>
        </w:tc>
        <w:tc>
          <w:tcPr>
            <w:tcW w:type="dxa" w:w="4000"/>
            <w:shd w:fill="2E5090" w:val="clear"/>
            <w:tcMar>
              <w:top w:type="dxa" w:w="80"/>
              <w:left w:type="dxa" w:w="100"/>
              <w:bottom w:type="dxa" w:w="80"/>
              <w:right w:type="dxa" w:w="100"/>
            </w:tcMar>
          </w:tcPr>
          <w:p>
            <w:r>
              <w:rPr>
                <w:rFonts w:ascii="Calibri" w:cs="Calibri" w:eastAsia="Calibri" w:hAnsi="Calibri"/>
                <w:b/>
                <w:bCs/>
                <w:color w:val="FFFFFF"/>
                <w:sz w:val="20"/>
                <w:szCs w:val="20"/>
              </w:rPr>
              <w:t xml:space="preserve">What's missing</w:t>
            </w:r>
          </w:p>
        </w:tc>
      </w:tr>
      <w:tr>
        <w:tc>
          <w:tcPr>
            <w:tcW w:type="dxa" w:w="3000"/>
            <w:tcMar>
              <w:top w:type="dxa" w:w="80"/>
              <w:left w:type="dxa" w:w="100"/>
              <w:bottom w:type="dxa" w:w="80"/>
              <w:right w:type="dxa" w:w="100"/>
            </w:tcMar>
          </w:tcPr>
          <w:p>
            <w:r>
              <w:rPr>
                <w:rFonts w:ascii="Calibri" w:cs="Calibri" w:eastAsia="Calibri" w:hAnsi="Calibri"/>
                <w:sz w:val="20"/>
                <w:szCs w:val="20"/>
              </w:rPr>
              <w:t xml:space="preserve">Expected Failure Predictor (EFP) — pre-NIR failure prediction</w:t>
            </w:r>
          </w:p>
        </w:tc>
        <w:tc>
          <w:tcPr>
            <w:tcW w:type="dxa" w:w="2400"/>
            <w:tcMar>
              <w:top w:type="dxa" w:w="80"/>
              <w:left w:type="dxa" w:w="100"/>
              <w:bottom w:type="dxa" w:w="80"/>
              <w:right w:type="dxa" w:w="100"/>
            </w:tcMar>
          </w:tcPr>
          <w:p>
            <w:r>
              <w:rPr>
                <w:rFonts w:ascii="Calibri" w:cs="Calibri" w:eastAsia="Calibri" w:hAnsi="Calibri"/>
                <w:sz w:val="20"/>
                <w:szCs w:val="20"/>
              </w:rPr>
              <w:t xml:space="preserve">Working code, ROC-AUC 0.978</w:t>
            </w:r>
          </w:p>
        </w:tc>
        <w:tc>
          <w:tcPr>
            <w:tcW w:type="dxa" w:w="4000"/>
            <w:tcMar>
              <w:top w:type="dxa" w:w="80"/>
              <w:left w:type="dxa" w:w="100"/>
              <w:bottom w:type="dxa" w:w="80"/>
              <w:right w:type="dxa" w:w="100"/>
            </w:tcMar>
          </w:tcPr>
          <w:p>
            <w:r>
              <w:rPr>
                <w:rFonts w:ascii="Calibri" w:cs="Calibri" w:eastAsia="Calibri" w:hAnsi="Calibri"/>
                <w:sz w:val="20"/>
                <w:szCs w:val="20"/>
              </w:rPr>
              <w:t xml:space="preserve">Entirely synthetic training data. No real labeled NIR-fail/NIR-succeed examples exist yet. The AUC reflects how well the model fits a synthetic formula, not real-world performance.</w:t>
            </w:r>
          </w:p>
        </w:tc>
      </w:tr>
      <w:tr>
        <w:tc>
          <w:tcPr>
            <w:tcW w:type="dxa" w:w="3000"/>
            <w:tcMar>
              <w:top w:type="dxa" w:w="80"/>
              <w:left w:type="dxa" w:w="100"/>
              <w:bottom w:type="dxa" w:w="80"/>
              <w:right w:type="dxa" w:w="100"/>
            </w:tcMar>
          </w:tcPr>
          <w:p>
            <w:r>
              <w:rPr>
                <w:rFonts w:ascii="Calibri" w:cs="Calibri" w:eastAsia="Calibri" w:hAnsi="Calibri"/>
                <w:sz w:val="20"/>
                <w:szCs w:val="20"/>
              </w:rPr>
              <w:t xml:space="preserve">RGB-derived features (gloss, texture, darkness) for EFP</w:t>
            </w:r>
          </w:p>
        </w:tc>
        <w:tc>
          <w:tcPr>
            <w:tcW w:type="dxa" w:w="2400"/>
            <w:tcMar>
              <w:top w:type="dxa" w:w="80"/>
              <w:left w:type="dxa" w:w="100"/>
              <w:bottom w:type="dxa" w:w="80"/>
              <w:right w:type="dxa" w:w="100"/>
            </w:tcMar>
          </w:tcPr>
          <w:p>
            <w:r>
              <w:rPr>
                <w:rFonts w:ascii="Calibri" w:cs="Calibri" w:eastAsia="Calibri" w:hAnsi="Calibri"/>
                <w:sz w:val="20"/>
                <w:szCs w:val="20"/>
              </w:rPr>
              <w:t xml:space="preserve">Extraction functions implemented</w:t>
            </w:r>
          </w:p>
        </w:tc>
        <w:tc>
          <w:tcPr>
            <w:tcW w:type="dxa" w:w="4000"/>
            <w:tcMar>
              <w:top w:type="dxa" w:w="80"/>
              <w:left w:type="dxa" w:w="100"/>
              <w:bottom w:type="dxa" w:w="80"/>
              <w:right w:type="dxa" w:w="100"/>
            </w:tcMar>
          </w:tcPr>
          <w:p>
            <w:r>
              <w:rPr>
                <w:rFonts w:ascii="Calibri" w:cs="Calibri" w:eastAsia="Calibri" w:hAnsi="Calibri"/>
                <w:sz w:val="20"/>
                <w:szCs w:val="20"/>
              </w:rPr>
              <w:t xml:space="preserve">Not validated against any real labeled photographs.</w:t>
            </w:r>
          </w:p>
        </w:tc>
      </w:tr>
      <w:tr>
        <w:tc>
          <w:tcPr>
            <w:tcW w:type="dxa" w:w="3000"/>
            <w:tcMar>
              <w:top w:type="dxa" w:w="80"/>
              <w:left w:type="dxa" w:w="100"/>
              <w:bottom w:type="dxa" w:w="80"/>
              <w:right w:type="dxa" w:w="100"/>
            </w:tcMar>
          </w:tcPr>
          <w:p>
            <w:r>
              <w:rPr>
                <w:rFonts w:ascii="Calibri" w:cs="Calibri" w:eastAsia="Calibri" w:hAnsi="Calibri"/>
                <w:sz w:val="20"/>
                <w:szCs w:val="20"/>
              </w:rPr>
              <w:t xml:space="preserve">Vision-stage benchmarks (YOLOv11 variants, accuracy tables)</w:t>
            </w:r>
          </w:p>
        </w:tc>
        <w:tc>
          <w:tcPr>
            <w:tcW w:type="dxa" w:w="2400"/>
            <w:tcMar>
              <w:top w:type="dxa" w:w="80"/>
              <w:left w:type="dxa" w:w="100"/>
              <w:bottom w:type="dxa" w:w="80"/>
              <w:right w:type="dxa" w:w="100"/>
            </w:tcMar>
          </w:tcPr>
          <w:p>
            <w:r>
              <w:rPr>
                <w:rFonts w:ascii="Calibri" w:cs="Calibri" w:eastAsia="Calibri" w:hAnsi="Calibri"/>
                <w:sz w:val="20"/>
                <w:szCs w:val="20"/>
              </w:rPr>
              <w:t xml:space="preserve">Claimed in draft materials</w:t>
            </w:r>
          </w:p>
        </w:tc>
        <w:tc>
          <w:tcPr>
            <w:tcW w:type="dxa" w:w="4000"/>
            <w:tcMar>
              <w:top w:type="dxa" w:w="80"/>
              <w:left w:type="dxa" w:w="100"/>
              <w:bottom w:type="dxa" w:w="80"/>
              <w:right w:type="dxa" w:w="100"/>
            </w:tcMar>
          </w:tcPr>
          <w:p>
            <w:r>
              <w:rPr>
                <w:rFonts w:ascii="Calibri" w:cs="Calibri" w:eastAsia="Calibri" w:hAnsi="Calibri"/>
                <w:sz w:val="20"/>
                <w:szCs w:val="20"/>
              </w:rPr>
              <w:t xml:space="preserve">Not yet reproduced with committed code + data in this repo.</w:t>
            </w:r>
          </w:p>
        </w:tc>
      </w:tr>
      <w:tr>
        <w:tc>
          <w:tcPr>
            <w:tcW w:type="dxa" w:w="3000"/>
            <w:tcMar>
              <w:top w:type="dxa" w:w="80"/>
              <w:left w:type="dxa" w:w="100"/>
              <w:bottom w:type="dxa" w:w="80"/>
              <w:right w:type="dxa" w:w="100"/>
            </w:tcMar>
          </w:tcPr>
          <w:p>
            <w:r>
              <w:rPr>
                <w:rFonts w:ascii="Calibri" w:cs="Calibri" w:eastAsia="Calibri" w:hAnsi="Calibri"/>
                <w:sz w:val="20"/>
                <w:szCs w:val="20"/>
              </w:rPr>
              <w:t xml:space="preserve">Jetson AGX Orin edge-deployment benchmarks</w:t>
            </w:r>
          </w:p>
        </w:tc>
        <w:tc>
          <w:tcPr>
            <w:tcW w:type="dxa" w:w="2400"/>
            <w:tcMar>
              <w:top w:type="dxa" w:w="80"/>
              <w:left w:type="dxa" w:w="100"/>
              <w:bottom w:type="dxa" w:w="80"/>
              <w:right w:type="dxa" w:w="100"/>
            </w:tcMar>
          </w:tcPr>
          <w:p>
            <w:r>
              <w:rPr>
                <w:rFonts w:ascii="Calibri" w:cs="Calibri" w:eastAsia="Calibri" w:hAnsi="Calibri"/>
                <w:sz w:val="20"/>
                <w:szCs w:val="20"/>
              </w:rPr>
              <w:t xml:space="preserve">Claimed in draft materials</w:t>
            </w:r>
          </w:p>
        </w:tc>
        <w:tc>
          <w:tcPr>
            <w:tcW w:type="dxa" w:w="4000"/>
            <w:tcMar>
              <w:top w:type="dxa" w:w="80"/>
              <w:left w:type="dxa" w:w="100"/>
              <w:bottom w:type="dxa" w:w="80"/>
              <w:right w:type="dxa" w:w="100"/>
            </w:tcMar>
          </w:tcPr>
          <w:p>
            <w:r>
              <w:rPr>
                <w:rFonts w:ascii="Calibri" w:cs="Calibri" w:eastAsia="Calibri" w:hAnsi="Calibri"/>
                <w:sz w:val="20"/>
                <w:szCs w:val="20"/>
              </w:rPr>
              <w:t xml:space="preserve">No Jetson hardware available to test on.</w:t>
            </w:r>
          </w:p>
        </w:tc>
      </w:tr>
      <w:tr>
        <w:tc>
          <w:tcPr>
            <w:tcW w:type="dxa" w:w="3000"/>
            <w:tcMar>
              <w:top w:type="dxa" w:w="80"/>
              <w:left w:type="dxa" w:w="100"/>
              <w:bottom w:type="dxa" w:w="80"/>
              <w:right w:type="dxa" w:w="100"/>
            </w:tcMar>
          </w:tcPr>
          <w:p>
            <w:r>
              <w:rPr>
                <w:rFonts w:ascii="Calibri" w:cs="Calibri" w:eastAsia="Calibri" w:hAnsi="Calibri"/>
                <w:sz w:val="20"/>
                <w:szCs w:val="20"/>
              </w:rPr>
              <w:t xml:space="preserve">Physical robot integration (UR3e + ROS2 + vacuum gripper)</w:t>
            </w:r>
          </w:p>
        </w:tc>
        <w:tc>
          <w:tcPr>
            <w:tcW w:type="dxa" w:w="2400"/>
            <w:tcMar>
              <w:top w:type="dxa" w:w="80"/>
              <w:left w:type="dxa" w:w="100"/>
              <w:bottom w:type="dxa" w:w="80"/>
              <w:right w:type="dxa" w:w="100"/>
            </w:tcMar>
          </w:tcPr>
          <w:p>
            <w:r>
              <w:rPr>
                <w:rFonts w:ascii="Calibri" w:cs="Calibri" w:eastAsia="Calibri" w:hAnsi="Calibri"/>
                <w:sz w:val="20"/>
                <w:szCs w:val="20"/>
              </w:rPr>
              <w:t xml:space="preserve">Claimed in draft materials</w:t>
            </w:r>
          </w:p>
        </w:tc>
        <w:tc>
          <w:tcPr>
            <w:tcW w:type="dxa" w:w="4000"/>
            <w:tcMar>
              <w:top w:type="dxa" w:w="80"/>
              <w:left w:type="dxa" w:w="100"/>
              <w:bottom w:type="dxa" w:w="80"/>
              <w:right w:type="dxa" w:w="100"/>
            </w:tcMar>
          </w:tcPr>
          <w:p>
            <w:r>
              <w:rPr>
                <w:rFonts w:ascii="Calibri" w:cs="Calibri" w:eastAsia="Calibri" w:hAnsi="Calibri"/>
                <w:sz w:val="20"/>
                <w:szCs w:val="20"/>
              </w:rPr>
              <w:t xml:space="preserve">No physical robot/conveyor testbed built yet.</w:t>
            </w:r>
          </w:p>
        </w:tc>
      </w:tr>
      <w:tr>
        <w:tc>
          <w:tcPr>
            <w:tcW w:type="dxa" w:w="3000"/>
            <w:tcMar>
              <w:top w:type="dxa" w:w="80"/>
              <w:left w:type="dxa" w:w="100"/>
              <w:bottom w:type="dxa" w:w="80"/>
              <w:right w:type="dxa" w:w="100"/>
            </w:tcMar>
          </w:tcPr>
          <w:p>
            <w:r>
              <w:rPr>
                <w:rFonts w:ascii="Calibri" w:cs="Calibri" w:eastAsia="Calibri" w:hAnsi="Calibri"/>
                <w:sz w:val="20"/>
                <w:szCs w:val="20"/>
              </w:rPr>
              <w:t xml:space="preserve">Industrial-scale figures (94.8% diversion, 89.2% purity, 18 items/min)</w:t>
            </w:r>
          </w:p>
        </w:tc>
        <w:tc>
          <w:tcPr>
            <w:tcW w:type="dxa" w:w="2400"/>
            <w:tcMar>
              <w:top w:type="dxa" w:w="80"/>
              <w:left w:type="dxa" w:w="100"/>
              <w:bottom w:type="dxa" w:w="80"/>
              <w:right w:type="dxa" w:w="100"/>
            </w:tcMar>
          </w:tcPr>
          <w:p>
            <w:r>
              <w:rPr>
                <w:rFonts w:ascii="Calibri" w:cs="Calibri" w:eastAsia="Calibri" w:hAnsi="Calibri"/>
                <w:sz w:val="20"/>
                <w:szCs w:val="20"/>
              </w:rPr>
              <w:t xml:space="preserve">Claimed in draft materials</w:t>
            </w:r>
          </w:p>
        </w:tc>
        <w:tc>
          <w:tcPr>
            <w:tcW w:type="dxa" w:w="4000"/>
            <w:tcMar>
              <w:top w:type="dxa" w:w="80"/>
              <w:left w:type="dxa" w:w="100"/>
              <w:bottom w:type="dxa" w:w="80"/>
              <w:right w:type="dxa" w:w="100"/>
            </w:tcMar>
          </w:tcPr>
          <w:p>
            <w:r>
              <w:rPr>
                <w:rFonts w:ascii="Calibri" w:cs="Calibri" w:eastAsia="Calibri" w:hAnsi="Calibri"/>
                <w:sz w:val="20"/>
                <w:szCs w:val="20"/>
              </w:rPr>
              <w:t xml:space="preserve">Requires physical pilot testing; currently a design target, not a measurement.</w:t>
            </w:r>
          </w:p>
        </w:tc>
      </w:tr>
      <w:tr>
        <w:tc>
          <w:tcPr>
            <w:tcW w:type="dxa" w:w="3000"/>
            <w:tcMar>
              <w:top w:type="dxa" w:w="80"/>
              <w:left w:type="dxa" w:w="100"/>
              <w:bottom w:type="dxa" w:w="80"/>
              <w:right w:type="dxa" w:w="100"/>
            </w:tcMar>
          </w:tcPr>
          <w:p>
            <w:r>
              <w:rPr>
                <w:rFonts w:ascii="Calibri" w:cs="Calibri" w:eastAsia="Calibri" w:hAnsi="Calibri"/>
                <w:sz w:val="20"/>
                <w:szCs w:val="20"/>
              </w:rPr>
              <w:t xml:space="preserve">Cost model (USD estimates)</w:t>
            </w:r>
          </w:p>
        </w:tc>
        <w:tc>
          <w:tcPr>
            <w:tcW w:type="dxa" w:w="2400"/>
            <w:tcMar>
              <w:top w:type="dxa" w:w="80"/>
              <w:left w:type="dxa" w:w="100"/>
              <w:bottom w:type="dxa" w:w="80"/>
              <w:right w:type="dxa" w:w="100"/>
            </w:tcMar>
          </w:tcPr>
          <w:p>
            <w:r>
              <w:rPr>
                <w:rFonts w:ascii="Calibri" w:cs="Calibri" w:eastAsia="Calibri" w:hAnsi="Calibri"/>
                <w:sz w:val="20"/>
                <w:szCs w:val="20"/>
              </w:rPr>
              <w:t xml:space="preserve">Claimed in draft materials</w:t>
            </w:r>
          </w:p>
        </w:tc>
        <w:tc>
          <w:tcPr>
            <w:tcW w:type="dxa" w:w="4000"/>
            <w:tcMar>
              <w:top w:type="dxa" w:w="80"/>
              <w:left w:type="dxa" w:w="100"/>
              <w:bottom w:type="dxa" w:w="80"/>
              <w:right w:type="dxa" w:w="100"/>
            </w:tcMar>
          </w:tcPr>
          <w:p>
            <w:r>
              <w:rPr>
                <w:rFonts w:ascii="Calibri" w:cs="Calibri" w:eastAsia="Calibri" w:hAnsi="Calibri"/>
                <w:sz w:val="20"/>
                <w:szCs w:val="20"/>
              </w:rPr>
              <w:t xml:space="preserve">Should be presented as a discussion estimate, not a measured result.</w:t>
            </w:r>
          </w:p>
        </w:tc>
      </w:tr>
    </w:tbl>
    <w:p>
      <w:pPr>
        <w:pStyle w:val="Heading1"/>
        <w:spacing w:after="150" w:before="300"/>
      </w:pPr>
      <w:r>
        <w:t xml:space="preserve">5. Open item worth flagging to your advisor directly</w:t>
      </w:r>
    </w:p>
    <w:p>
      <w:pPr>
        <w:spacing w:after="160"/>
      </w:pPr>
      <w:r>
        <w:rPr>
          <w:rFonts w:ascii="Calibri" w:cs="Calibri" w:eastAsia="Calibri" w:hAnsi="Calibri"/>
          <w:sz w:val="22"/>
          <w:szCs w:val="22"/>
        </w:rPr>
        <w:t xml:space="preserve">The raw NIR hyperspectral data (232-band) referenced in the codebase exists only as summary metrics in this repo — the raw spectral files themselves have not been located/re-verified independently. If they exist elsewhere, locating them would let us independently confirm the NIR numbers the same way we did for MIR (which we could verify directly). Worth asking whether this raw data is archived somewhere retrievable before the paper goes further.</w:t>
      </w:r>
    </w:p>
    <w:p>
      <w:pPr>
        <w:pStyle w:val="Heading1"/>
        <w:spacing w:after="150" w:before="300"/>
      </w:pPr>
      <w:r>
        <w:t xml:space="preserve">6. Recommendation for paper/patent framing</w:t>
      </w:r>
    </w:p>
    <w:p>
      <w:pPr>
        <w:pStyle w:val="ListParagraph"/>
        <w:numPr>
          <w:ilvl w:val="0"/>
          <w:numId w:val="1"/>
        </w:numPr>
        <w:spacing w:after="80"/>
      </w:pPr>
      <w:r>
        <w:t xml:space="preserve">Present as validated, with data: the MIR classification results (Section 3) — these are real, reproducible, and leakage-checked.</w:t>
      </w:r>
    </w:p>
    <w:p>
      <w:pPr>
        <w:pStyle w:val="ListParagraph"/>
        <w:numPr>
          <w:ilvl w:val="0"/>
          <w:numId w:val="1"/>
        </w:numPr>
        <w:spacing w:after="80"/>
      </w:pPr>
      <w:r>
        <w:t xml:space="preserve">Present as a working architecture, with synthetic training results clearly labeled as such: the ACE and EFP adaptive-gating mechanisms — the engineering contribution (an adaptive, learned gate instead of a fixed threshold) is real and demonstrable in code; the quantitative performance numbers for EFP specifically should be labeled "synthetic dataset, N=10,000; real-world validation pending" wherever they appear.</w:t>
      </w:r>
    </w:p>
    <w:p>
      <w:pPr>
        <w:pStyle w:val="ListParagraph"/>
        <w:numPr>
          <w:ilvl w:val="0"/>
          <w:numId w:val="1"/>
        </w:numPr>
        <w:spacing w:after="80"/>
      </w:pPr>
      <w:r>
        <w:t xml:space="preserve">Present as planned/future work, not results: anything requiring physical hardware not yet available (Jetson benchmarks, robot integration, industrial throughput/purity figures, cost model).</w:t>
      </w:r>
    </w:p>
    <w:p>
      <w:pPr>
        <w:spacing w:after="100"/>
      </w:pPr>
    </w:p>
    <w:p>
      <w:pPr>
        <w:spacing w:after="160"/>
      </w:pPr>
      <w:r>
        <w:rPr>
          <w:rFonts w:ascii="Calibri" w:cs="Calibri" w:eastAsia="Calibri" w:hAnsi="Calibri"/>
          <w:sz w:val="22"/>
          <w:szCs w:val="22"/>
        </w:rPr>
        <w:t xml:space="preserve">This framing keeps every number in the paper defensible if a reviewer or examiner asks to see the underlying data or reproduce a result — which matters for both the IEEE submission and any patent filing built on top of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2026-08-09T18:34:05.261Z</dcterms:created>
  <dcterms:modified xsi:type="dcterms:W3CDTF">2026-08-09T18:34:05.280Z</dcterms:modified>
</cp:coreProperties>
</file>

<file path=docProps/custom.xml><?xml version="1.0" encoding="utf-8"?>
<Properties xmlns="http://schemas.openxmlformats.org/officeDocument/2006/custom-properties" xmlns:vt="http://schemas.openxmlformats.org/officeDocument/2006/docPropsVTypes"/>
</file>