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color w:val="003366"/>
          <w:sz w:val="28"/>
          <w:szCs w:val="28"/>
        </w:rPr>
        <w:t xml:space="preserve">A Multimodal AI-Driven Waste Segregation System Combining Deep Learning-Based Computer Vision with NIR/MIR Spectral Sensing for Real-Time Polymer Classification</w:t>
      </w:r>
    </w:p>
    <w:p>
      <w:pPr>
        <w:spacing w:after="60" w:before="60"/>
      </w:pPr>
      <w:r>
        <w:t xml:space="preserve"/>
      </w:r>
    </w:p>
    <w:p>
      <w:pPr>
        <w:spacing w:after="60" w:before="0"/>
        <w:jc w:val="center"/>
      </w:pPr>
      <w:r>
        <w:rPr>
          <w:rFonts w:ascii="Times New Roman" w:cs="Times New Roman" w:eastAsia="Times New Roman" w:hAnsi="Times New Roman"/>
          <w:b/>
          <w:bCs/>
          <w:sz w:val="22"/>
          <w:szCs w:val="22"/>
        </w:rPr>
        <w:t xml:space="preserve">[Author Name], [Co-Author Name]</w:t>
      </w:r>
    </w:p>
    <w:p>
      <w:pPr>
        <w:spacing w:after="60" w:before="0"/>
        <w:jc w:val="center"/>
      </w:pPr>
      <w:r>
        <w:rPr>
          <w:rFonts w:ascii="Times New Roman" w:cs="Times New Roman" w:eastAsia="Times New Roman" w:hAnsi="Times New Roman"/>
          <w:sz w:val="20"/>
          <w:szCs w:val="20"/>
        </w:rPr>
        <w:t xml:space="preserve">Department of [Your Department], [Your Institution], [City, Country]</w:t>
      </w:r>
    </w:p>
    <w:p>
      <w:pPr>
        <w:spacing w:after="200" w:before="0"/>
        <w:jc w:val="center"/>
      </w:pPr>
      <w:r>
        <w:rPr>
          <w:rFonts w:ascii="Times New Roman" w:cs="Times New Roman" w:eastAsia="Times New Roman" w:hAnsi="Times New Roman"/>
          <w:color w:val="0070C0"/>
          <w:sz w:val="20"/>
          <w:szCs w:val="20"/>
        </w:rPr>
        <w:t xml:space="preserve">[author.email@institution.ac.in]</w:t>
      </w:r>
    </w:p>
    <w:p>
      <w:pPr>
        <w:pBdr>
          <w:bottom w:val="single" w:color="003366" w:sz="4" w:space="1"/>
        </w:pBdr>
        <w:spacing w:after="80" w:before="80"/>
      </w:pPr>
      <w:r>
        <w:t xml:space="preserve"/>
      </w:r>
    </w:p>
    <w:p>
      <w:pPr>
        <w:pStyle w:val="Heading1"/>
        <w:spacing w:after="100" w:before="200"/>
      </w:pPr>
      <w:r>
        <w:rPr>
          <w:rFonts w:ascii="Times New Roman" w:cs="Times New Roman" w:eastAsia="Times New Roman" w:hAnsi="Times New Roman"/>
          <w:b/>
          <w:bCs/>
          <w:color w:val="1A5276"/>
          <w:sz w:val="26"/>
          <w:szCs w:val="26"/>
        </w:rPr>
        <w:t xml:space="preserve">Abstract</w:t>
      </w:r>
    </w:p>
    <w:p>
      <w:pPr>
        <w:spacing w:after="60" w:before="60" w:line="276"/>
        <w:jc w:val="both"/>
      </w:pPr>
      <w:r>
        <w:rPr>
          <w:rFonts w:ascii="Times New Roman" w:cs="Times New Roman" w:eastAsia="Times New Roman" w:hAnsi="Times New Roman"/>
          <w:b w:val="false"/>
          <w:bCs w:val="false"/>
          <w:sz w:val="20"/>
          <w:szCs w:val="20"/>
        </w:rPr>
        <w:t xml:space="preserve">The rapid global accumulation of heterogeneous waste streams necessitates intelligent, automated segregation to bolster recycling efficiency and diminish environmental impact. This paper presents a real-time, multimodal AI-driven waste detection and classification architecture that synergizes a dual-stage deep learning computer vision pipeline with near-infrared (NIR) and mid-infrared (MIR) spectral sensing. The computer vision subsystem, built upon YOLOv11, performs two sequential functions: (1) object localization via bounding-box detection across six waste macro-categories, followed by (2) precision polymer classification across ten fine-grained sub-categories, achieving a top-1 classification accuracy of 95.7% at under 6 ms combined inference latency. To address the well-documented limitation of NIR sensing on carbon-black-colored plastics, a confidence-gated fallback mechanism autonomously escalates inconclusive NIR readings (confidence &lt; 85%) to a MIR backup sensor, which demonstrated a recovery accuracy of 99.0% on black plastic samples. The integrated system provides real-time bin-routing decisions and actionable recycling guidance through an OpenCV-based overlay, sustaining 30–60 FPS on edge-compatible hardware. This work establishes a novel, low-cost multimodal framework with direct applicability to industrial conveyor belt sorting facilities and consumer-facing smart bins.</w:t>
      </w:r>
    </w:p>
    <w:p>
      <w:pPr>
        <w:spacing w:after="60" w:before="60"/>
      </w:pPr>
      <w:r>
        <w:t xml:space="preserve"/>
      </w:r>
    </w:p>
    <w:p>
      <w:pPr>
        <w:spacing w:after="60" w:before="60"/>
      </w:pPr>
      <w:r>
        <w:rPr>
          <w:rFonts w:ascii="Times New Roman" w:cs="Times New Roman" w:eastAsia="Times New Roman" w:hAnsi="Times New Roman"/>
          <w:b/>
          <w:bCs/>
          <w:sz w:val="20"/>
          <w:szCs w:val="20"/>
        </w:rPr>
        <w:t xml:space="preserve">Index Terms — </w:t>
      </w:r>
      <w:r>
        <w:rPr>
          <w:rFonts w:ascii="Times New Roman" w:cs="Times New Roman" w:eastAsia="Times New Roman" w:hAnsi="Times New Roman"/>
          <w:sz w:val="20"/>
          <w:szCs w:val="20"/>
        </w:rPr>
        <w:t xml:space="preserve">Waste segregation, YOLOv11, near-infrared spectroscopy, mid-infrared spectroscopy, polymer classification, deep learning, multimodal sensing, computer vision, real-time AI, recycling automation.</w:t>
      </w:r>
    </w:p>
    <w:p>
      <w:pPr>
        <w:pBdr>
          <w:bottom w:val="single" w:color="003366" w:sz="4" w:space="1"/>
        </w:pBdr>
        <w:spacing w:after="80" w:before="80"/>
      </w:pPr>
      <w:r>
        <w:t xml:space="preserve"/>
      </w:r>
    </w:p>
    <w:p>
      <w:pPr>
        <w:pStyle w:val="Heading1"/>
        <w:spacing w:after="100" w:before="200"/>
      </w:pPr>
      <w:r>
        <w:rPr>
          <w:rFonts w:ascii="Times New Roman" w:cs="Times New Roman" w:eastAsia="Times New Roman" w:hAnsi="Times New Roman"/>
          <w:b/>
          <w:bCs/>
          <w:color w:val="1A5276"/>
          <w:sz w:val="26"/>
          <w:szCs w:val="26"/>
        </w:rPr>
        <w:t xml:space="preserve">I. Introduction</w:t>
      </w:r>
    </w:p>
    <w:p>
      <w:pPr>
        <w:spacing w:after="60" w:before="60" w:line="276"/>
        <w:jc w:val="both"/>
      </w:pPr>
      <w:r>
        <w:rPr>
          <w:rFonts w:ascii="Times New Roman" w:cs="Times New Roman" w:eastAsia="Times New Roman" w:hAnsi="Times New Roman"/>
          <w:b w:val="false"/>
          <w:bCs w:val="false"/>
          <w:sz w:val="20"/>
          <w:szCs w:val="20"/>
        </w:rPr>
        <w:t xml:space="preserve">The global generation of municipal solid waste (MSW) is projected to reach 3.4 billion tonnes annually by 2050 [1]. Plastics constitute one of the most problematic fractions, owing to the visual and tactile similarity of chemically distinct polymer types such as PET, HDPE, PVC, and ABS. Manual sorting is impractical at industrial scale, while traditional single-modality sensor systems — whether purely optical or purely spectroscopic — each exhibit fundamental failure modes under real-world conditions.</w:t>
      </w:r>
    </w:p>
    <w:p>
      <w:pPr>
        <w:spacing w:after="60" w:before="60" w:line="276"/>
        <w:jc w:val="both"/>
      </w:pPr>
      <w:r>
        <w:rPr>
          <w:rFonts w:ascii="Times New Roman" w:cs="Times New Roman" w:eastAsia="Times New Roman" w:hAnsi="Times New Roman"/>
          <w:b w:val="false"/>
          <w:bCs w:val="false"/>
          <w:sz w:val="20"/>
          <w:szCs w:val="20"/>
        </w:rPr>
        <w:t xml:space="preserve">Computer vision approaches, including convolutional neural networks (CNNs) and YOLO-family detectors, have demonstrated strong performance in classifying visually distinct waste classes [2]–[5]. However, they are inherently limited to surface appearance and struggle to differentiate polymers that are visually identical. Conversely, NIR spectroscopy provides molecular-level polymer fingerprinting with high discrimination power [6]–[9], yet suffers a critical and well-documented failure mode: carbon-black colorants — used ubiquitously in electronics, automotive, and household plastic products — absorb NIR radiation almost entirely, rendering NIR-based prediction unreliable for this substantial waste fraction [10], [11].</w:t>
      </w:r>
    </w:p>
    <w:p>
      <w:pPr>
        <w:spacing w:after="60" w:before="60" w:line="276"/>
        <w:jc w:val="both"/>
      </w:pPr>
      <w:r>
        <w:rPr>
          <w:rFonts w:ascii="Times New Roman" w:cs="Times New Roman" w:eastAsia="Times New Roman" w:hAnsi="Times New Roman"/>
          <w:b w:val="false"/>
          <w:bCs w:val="false"/>
          <w:sz w:val="20"/>
          <w:szCs w:val="20"/>
        </w:rPr>
        <w:t xml:space="preserve">Mid-infrared (MIR) spectroscopy operates in a fundamentally different spectral window (2.5–25 μm) that is unaffected by carbon-black absorption, making it a robust backup sensing modality for dark plastics [12]. Despite this complementarity, no existing system integrates real-time deep learning computer vision with an automated, confidence-gated NIR→MIR escalation mechanism for general waste sorting applications.</w:t>
      </w:r>
    </w:p>
    <w:p>
      <w:pPr>
        <w:spacing w:after="60" w:before="60" w:line="276"/>
        <w:jc w:val="both"/>
      </w:pPr>
      <w:r>
        <w:rPr>
          <w:rFonts w:ascii="Times New Roman" w:cs="Times New Roman" w:eastAsia="Times New Roman" w:hAnsi="Times New Roman"/>
          <w:b w:val="false"/>
          <w:bCs w:val="false"/>
          <w:sz w:val="20"/>
          <w:szCs w:val="20"/>
        </w:rPr>
        <w:t xml:space="preserve">This paper makes the following principal contributions:</w:t>
      </w:r>
    </w:p>
    <w:p>
      <w:pPr>
        <w:pStyle w:val="ListParagraph"/>
        <w:numPr>
          <w:ilvl w:val="0"/>
          <w:numId w:val="2"/>
        </w:numPr>
        <w:spacing w:after="40" w:before="40"/>
      </w:pPr>
      <w:r>
        <w:rPr>
          <w:rFonts w:ascii="Times New Roman" w:cs="Times New Roman" w:eastAsia="Times New Roman" w:hAnsi="Times New Roman"/>
          <w:sz w:val="20"/>
          <w:szCs w:val="20"/>
        </w:rPr>
        <w:t xml:space="preserve">A dual-stage YOLOv11 pipeline decoupling waste localization from fine-grained polymer classification, achieving 95.7% top-1 accuracy at ≤6 ms inference on commodity hardware.</w:t>
      </w:r>
    </w:p>
    <w:p>
      <w:pPr>
        <w:pStyle w:val="ListParagraph"/>
        <w:numPr>
          <w:ilvl w:val="0"/>
          <w:numId w:val="2"/>
        </w:numPr>
        <w:spacing w:after="40" w:before="40"/>
      </w:pPr>
      <w:r>
        <w:rPr>
          <w:rFonts w:ascii="Times New Roman" w:cs="Times New Roman" w:eastAsia="Times New Roman" w:hAnsi="Times New Roman"/>
          <w:sz w:val="20"/>
          <w:szCs w:val="20"/>
        </w:rPr>
        <w:t xml:space="preserve">A confidence-gated spectral fallback mechanism that automatically triggers MIR sensing when NIR confidence falls below a tunable threshold (default: 85%), demonstrated to recover classification accuracy to 99.0% on carbon-black plastics.</w:t>
      </w:r>
    </w:p>
    <w:p>
      <w:pPr>
        <w:pStyle w:val="ListParagraph"/>
        <w:numPr>
          <w:ilvl w:val="0"/>
          <w:numId w:val="2"/>
        </w:numPr>
        <w:spacing w:after="40" w:before="40"/>
      </w:pPr>
      <w:r>
        <w:rPr>
          <w:rFonts w:ascii="Times New Roman" w:cs="Times New Roman" w:eastAsia="Times New Roman" w:hAnsi="Times New Roman"/>
          <w:sz w:val="20"/>
          <w:szCs w:val="20"/>
        </w:rPr>
        <w:t xml:space="preserve">A unified system architecture integrating RGB computer vision, NIR spectroscopy, and MIR spectroscopy into a coherent real-time sorting pipeline with actionable bin-routing output.</w:t>
      </w:r>
    </w:p>
    <w:p>
      <w:pPr>
        <w:pStyle w:val="ListParagraph"/>
        <w:numPr>
          <w:ilvl w:val="0"/>
          <w:numId w:val="2"/>
        </w:numPr>
        <w:spacing w:after="40" w:before="40"/>
      </w:pPr>
      <w:r>
        <w:rPr>
          <w:rFonts w:ascii="Times New Roman" w:cs="Times New Roman" w:eastAsia="Times New Roman" w:hAnsi="Times New Roman"/>
          <w:sz w:val="20"/>
          <w:szCs w:val="20"/>
        </w:rPr>
        <w:t xml:space="preserve">Empirical validation across all three sensing modalities and quantification of the complementary coverage regions of NIR and MIR in real-world polymer classification.</w:t>
      </w:r>
    </w:p>
    <w:p>
      <w:pPr>
        <w:pBdr>
          <w:bottom w:val="single" w:color="003366" w:sz="4" w:space="1"/>
        </w:pBdr>
        <w:spacing w:after="80" w:before="80"/>
      </w:pPr>
      <w:r>
        <w:t xml:space="preserve"/>
      </w:r>
    </w:p>
    <w:p>
      <w:pPr>
        <w:pStyle w:val="Heading1"/>
        <w:spacing w:after="100" w:before="200"/>
      </w:pPr>
      <w:r>
        <w:rPr>
          <w:rFonts w:ascii="Times New Roman" w:cs="Times New Roman" w:eastAsia="Times New Roman" w:hAnsi="Times New Roman"/>
          <w:b/>
          <w:bCs/>
          <w:color w:val="1A5276"/>
          <w:sz w:val="26"/>
          <w:szCs w:val="26"/>
        </w:rPr>
        <w:t xml:space="preserve">II. Related Work</w:t>
      </w:r>
    </w:p>
    <w:p>
      <w:pPr>
        <w:pStyle w:val="Heading2"/>
        <w:spacing w:after="100" w:before="200"/>
      </w:pPr>
      <w:r>
        <w:rPr>
          <w:rFonts w:ascii="Times New Roman" w:cs="Times New Roman" w:eastAsia="Times New Roman" w:hAnsi="Times New Roman"/>
          <w:b/>
          <w:bCs/>
          <w:color w:val="1A5276"/>
          <w:sz w:val="22"/>
          <w:szCs w:val="22"/>
        </w:rPr>
        <w:t xml:space="preserve">A. Computer Vision for Waste Classification</w:t>
      </w:r>
    </w:p>
    <w:p>
      <w:pPr>
        <w:spacing w:after="60" w:before="60" w:line="276"/>
        <w:jc w:val="both"/>
      </w:pPr>
      <w:r>
        <w:rPr>
          <w:rFonts w:ascii="Times New Roman" w:cs="Times New Roman" w:eastAsia="Times New Roman" w:hAnsi="Times New Roman"/>
          <w:b w:val="false"/>
          <w:bCs w:val="false"/>
          <w:sz w:val="20"/>
          <w:szCs w:val="20"/>
        </w:rPr>
        <w:t xml:space="preserve">Deep learning-based waste classification has matured significantly over the past decade. ResNet [2] and MobileNet [3] architectures have been widely applied to recycling image datasets. YOLO-family detectors — from YOLOv3 through the recent YOLOv11 — have become the de facto choice for real-time waste detection on conveyor belts due to their single-pass inference paradigm [4], [5]. The ZeroWaste dataset [13] and TrashNet [14] represent key public benchmarks for RGB-based sorting, yet both are constrained to surface appearance and cannot distinguish chemically distinct polymers.</w:t>
      </w:r>
    </w:p>
    <w:p>
      <w:pPr>
        <w:pStyle w:val="Heading2"/>
        <w:spacing w:after="100" w:before="200"/>
      </w:pPr>
      <w:r>
        <w:rPr>
          <w:rFonts w:ascii="Times New Roman" w:cs="Times New Roman" w:eastAsia="Times New Roman" w:hAnsi="Times New Roman"/>
          <w:b/>
          <w:bCs/>
          <w:color w:val="1A5276"/>
          <w:sz w:val="22"/>
          <w:szCs w:val="22"/>
        </w:rPr>
        <w:t xml:space="preserve">B. Spectroscopic Polymer Identification</w:t>
      </w:r>
    </w:p>
    <w:p>
      <w:pPr>
        <w:spacing w:after="60" w:before="60" w:line="276"/>
        <w:jc w:val="both"/>
      </w:pPr>
      <w:r>
        <w:rPr>
          <w:rFonts w:ascii="Times New Roman" w:cs="Times New Roman" w:eastAsia="Times New Roman" w:hAnsi="Times New Roman"/>
          <w:b w:val="false"/>
          <w:bCs w:val="false"/>
          <w:sz w:val="20"/>
          <w:szCs w:val="20"/>
        </w:rPr>
        <w:t xml:space="preserve">NIR hyperspectral imaging (HSI) has been extensively studied for polymer sorting, achieving near-perfect discrimination among PET, HDPE, PP, and PS under controlled conditions [6]–[9]. FTIR spectroscopy, while highly accurate, is predominantly limited to laboratory settings due to its slow acquisition speed [12]. The fundamental limitation of NIR for carbon-black-doped plastics is documented in [10] and [11], where signal absorption renders identification impossible. MIR sensing in the 2.5–7 μm range has been proposed as a solution [12], but practical system integration with real-time vision pipelines has not been demonstrated.</w:t>
      </w:r>
    </w:p>
    <w:p>
      <w:pPr>
        <w:pStyle w:val="Heading2"/>
        <w:spacing w:after="100" w:before="200"/>
      </w:pPr>
      <w:r>
        <w:rPr>
          <w:rFonts w:ascii="Times New Roman" w:cs="Times New Roman" w:eastAsia="Times New Roman" w:hAnsi="Times New Roman"/>
          <w:b/>
          <w:bCs/>
          <w:color w:val="1A5276"/>
          <w:sz w:val="22"/>
          <w:szCs w:val="22"/>
        </w:rPr>
        <w:t xml:space="preserve">C. Multimodal Sensor Fusion</w:t>
      </w:r>
    </w:p>
    <w:p>
      <w:pPr>
        <w:spacing w:after="60" w:before="60" w:line="276"/>
        <w:jc w:val="both"/>
      </w:pPr>
      <w:r>
        <w:rPr>
          <w:rFonts w:ascii="Times New Roman" w:cs="Times New Roman" w:eastAsia="Times New Roman" w:hAnsi="Times New Roman"/>
          <w:b w:val="false"/>
          <w:bCs w:val="false"/>
          <w:sz w:val="20"/>
          <w:szCs w:val="20"/>
        </w:rPr>
        <w:t xml:space="preserve">SpectralWaste [15] presents paired RGB and HSI data for waste classification, but focuses on packaging waste rather than black plastics. Fusion of RGB and NIR for e-waste plastic sorting using the Polymers Hyperspectral Imaging Dataset [16] is addressed only for slow offline pipelines. To the best of the authors' knowledge, no prior work integrates a real-time YOLO-based visual detector with an adaptive, confidence-gated NIR/MIR spectral fallback in a unified, edge-deployable system.</w:t>
      </w:r>
    </w:p>
    <w:p>
      <w:pPr>
        <w:pBdr>
          <w:bottom w:val="single" w:color="003366" w:sz="4" w:space="1"/>
        </w:pBdr>
        <w:spacing w:after="80" w:before="80"/>
      </w:pPr>
      <w:r>
        <w:t xml:space="preserve"/>
      </w:r>
    </w:p>
    <w:p>
      <w:pPr>
        <w:pStyle w:val="Heading1"/>
        <w:spacing w:after="100" w:before="200"/>
      </w:pPr>
      <w:r>
        <w:rPr>
          <w:rFonts w:ascii="Times New Roman" w:cs="Times New Roman" w:eastAsia="Times New Roman" w:hAnsi="Times New Roman"/>
          <w:b/>
          <w:bCs/>
          <w:color w:val="1A5276"/>
          <w:sz w:val="26"/>
          <w:szCs w:val="26"/>
        </w:rPr>
        <w:t xml:space="preserve">III. System Architecture</w:t>
      </w:r>
    </w:p>
    <w:p>
      <w:pPr>
        <w:spacing w:after="60" w:before="60" w:line="276"/>
        <w:jc w:val="both"/>
      </w:pPr>
      <w:r>
        <w:rPr>
          <w:rFonts w:ascii="Times New Roman" w:cs="Times New Roman" w:eastAsia="Times New Roman" w:hAnsi="Times New Roman"/>
          <w:b w:val="false"/>
          <w:bCs w:val="false"/>
          <w:sz w:val="20"/>
          <w:szCs w:val="20"/>
        </w:rPr>
        <w:t xml:space="preserve">The proposed system comprises four tightly integrated processing stages, as illustrated conceptually in Fig. 1. Each waste item traversing the conveyor is processed sequentially through the visual detection, visual classification, primary NIR sensing, and optional MIR fallback stages.</w:t>
      </w:r>
    </w:p>
    <w:p>
      <w:pPr>
        <w:pStyle w:val="Heading2"/>
        <w:spacing w:after="100" w:before="200"/>
      </w:pPr>
      <w:r>
        <w:rPr>
          <w:rFonts w:ascii="Times New Roman" w:cs="Times New Roman" w:eastAsia="Times New Roman" w:hAnsi="Times New Roman"/>
          <w:b/>
          <w:bCs/>
          <w:color w:val="1A5276"/>
          <w:sz w:val="22"/>
          <w:szCs w:val="22"/>
        </w:rPr>
        <w:t xml:space="preserve">A. Stage 1: Object Localization (YOLOv11s Detection)</w:t>
      </w:r>
    </w:p>
    <w:p>
      <w:pPr>
        <w:spacing w:after="60" w:before="60" w:line="276"/>
        <w:jc w:val="both"/>
      </w:pPr>
      <w:r>
        <w:rPr>
          <w:rFonts w:ascii="Times New Roman" w:cs="Times New Roman" w:eastAsia="Times New Roman" w:hAnsi="Times New Roman"/>
          <w:b w:val="false"/>
          <w:bCs w:val="false"/>
          <w:sz w:val="20"/>
          <w:szCs w:val="20"/>
        </w:rPr>
        <w:t xml:space="preserve">A YOLOv11s detection model scans each video frame in real-time, drawing bounding boxes around any waste objects and cropping the enclosed regions. The model was trained for 100 epochs on a dataset of over 10,000 images spanning six macro-classes: Biodegradable, Cardboard, Glass, Metal, Paper, and Plastic. It achieves a Mean Average Precision (mAP@50) of 55.1% at an inference speed of 4.5 ms per image, corresponding to approximately 222 FPS — ensuring the localization stage is never the system bottleneck.</w:t>
      </w:r>
    </w:p>
    <w:p>
      <w:pPr>
        <w:pStyle w:val="Heading2"/>
        <w:spacing w:after="100" w:before="200"/>
      </w:pPr>
      <w:r>
        <w:rPr>
          <w:rFonts w:ascii="Times New Roman" w:cs="Times New Roman" w:eastAsia="Times New Roman" w:hAnsi="Times New Roman"/>
          <w:b/>
          <w:bCs/>
          <w:color w:val="1A5276"/>
          <w:sz w:val="22"/>
          <w:szCs w:val="22"/>
        </w:rPr>
        <w:t xml:space="preserve">B. Stage 2: Precision Classification (YOLOv11s-cls)</w:t>
      </w:r>
    </w:p>
    <w:p>
      <w:pPr>
        <w:spacing w:after="60" w:before="60" w:line="276"/>
        <w:jc w:val="both"/>
      </w:pPr>
      <w:r>
        <w:rPr>
          <w:rFonts w:ascii="Times New Roman" w:cs="Times New Roman" w:eastAsia="Times New Roman" w:hAnsi="Times New Roman"/>
          <w:b w:val="false"/>
          <w:bCs w:val="false"/>
          <w:sz w:val="20"/>
          <w:szCs w:val="20"/>
        </w:rPr>
        <w:t xml:space="preserve">Cropped regions from Stage 1 are passed to a dedicated YOLOv11s-cls classification model that predicts one of ten fine-grained polymer categories: Battery, Biological, Cardboard, Clothes, Glass, Metal, Paper, Plastic, Shoes, and Trash. The model was trained on 12,259 curated images (384×384 resolution) with an 80/20 train-validation split for 90 epochs, with early stopping triggered at epoch 70 to prevent overfitting. Classification inference executes in 0.8 ms (~1,250 FPS), yielding a Top-1 accuracy of 95.7% and Top-5 accuracy of 99.7%.</w:t>
      </w:r>
    </w:p>
    <w:p>
      <w:pPr>
        <w:pStyle w:val="Heading2"/>
        <w:spacing w:after="100" w:before="200"/>
      </w:pPr>
      <w:r>
        <w:rPr>
          <w:rFonts w:ascii="Times New Roman" w:cs="Times New Roman" w:eastAsia="Times New Roman" w:hAnsi="Times New Roman"/>
          <w:b/>
          <w:bCs/>
          <w:color w:val="1A5276"/>
          <w:sz w:val="22"/>
          <w:szCs w:val="22"/>
        </w:rPr>
        <w:t xml:space="preserve">C. Stage 3: NIR Spectral Sensing</w:t>
      </w:r>
    </w:p>
    <w:p>
      <w:pPr>
        <w:spacing w:after="60" w:before="60" w:line="276"/>
        <w:jc w:val="both"/>
      </w:pPr>
      <w:r>
        <w:rPr>
          <w:rFonts w:ascii="Times New Roman" w:cs="Times New Roman" w:eastAsia="Times New Roman" w:hAnsi="Times New Roman"/>
          <w:b w:val="false"/>
          <w:bCs w:val="false"/>
          <w:sz w:val="20"/>
          <w:szCs w:val="20"/>
        </w:rPr>
        <w:t xml:space="preserve">For items classified as Plastic in Stage 2, a NIR sensor (900–1700 nm) is triggered to perform sub-category polymer typing (e.g., PET, HDPE, PVC, LDPE, PP). The sensor produces a confidence score alongside its prediction. If the returned confidence meets or exceeds the configured threshold (default: 85%), the NIR classification is accepted as the final output. A standard colored PVC sample, for example, yields 89.87% NIR confidence, correctly classifying as PVC [STATUS: OK, Fallback: False].</w:t>
      </w:r>
    </w:p>
    <w:p>
      <w:pPr>
        <w:pStyle w:val="Heading2"/>
        <w:spacing w:after="100" w:before="200"/>
      </w:pPr>
      <w:r>
        <w:rPr>
          <w:rFonts w:ascii="Times New Roman" w:cs="Times New Roman" w:eastAsia="Times New Roman" w:hAnsi="Times New Roman"/>
          <w:b/>
          <w:bCs/>
          <w:color w:val="1A5276"/>
          <w:sz w:val="22"/>
          <w:szCs w:val="22"/>
        </w:rPr>
        <w:t xml:space="preserve">D. Stage 4: MIR Fallback Sensing</w:t>
      </w:r>
    </w:p>
    <w:p>
      <w:pPr>
        <w:spacing w:after="60" w:before="60" w:line="276"/>
        <w:jc w:val="both"/>
      </w:pPr>
      <w:r>
        <w:rPr>
          <w:rFonts w:ascii="Times New Roman" w:cs="Times New Roman" w:eastAsia="Times New Roman" w:hAnsi="Times New Roman"/>
          <w:b w:val="false"/>
          <w:bCs w:val="false"/>
          <w:sz w:val="20"/>
          <w:szCs w:val="20"/>
        </w:rPr>
        <w:t xml:space="preserve">When the NIR confidence falls below the 85% threshold — characteristic of carbon-black-colored plastics where NIR signal is largely absorbed — the system automatically escalates to an MIR backup sensor. In empirical testing, a black HDPE sample returned only 15.0% NIR confidence. Upon MIR activation, the same sample was classified as HDPE with 99.0% confidence [STATUS: OK, Fallback: True]. This confidence-gated escalation mechanism eliminates the primary failure mode of NIR-only plastic sorting systems.</w:t>
      </w:r>
    </w:p>
    <w:p>
      <w:pPr>
        <w:pStyle w:val="Heading2"/>
        <w:spacing w:after="100" w:before="200"/>
      </w:pPr>
      <w:r>
        <w:rPr>
          <w:rFonts w:ascii="Times New Roman" w:cs="Times New Roman" w:eastAsia="Times New Roman" w:hAnsi="Times New Roman"/>
          <w:b/>
          <w:bCs/>
          <w:color w:val="1A5276"/>
          <w:sz w:val="22"/>
          <w:szCs w:val="22"/>
        </w:rPr>
        <w:t xml:space="preserve">E. Stage 5: Real-Time UI and Bin Routing</w:t>
      </w:r>
    </w:p>
    <w:p>
      <w:pPr>
        <w:spacing w:after="60" w:before="60" w:line="276"/>
        <w:jc w:val="both"/>
      </w:pPr>
      <w:r>
        <w:rPr>
          <w:rFonts w:ascii="Times New Roman" w:cs="Times New Roman" w:eastAsia="Times New Roman" w:hAnsi="Times New Roman"/>
          <w:b w:val="false"/>
          <w:bCs w:val="false"/>
          <w:sz w:val="20"/>
          <w:szCs w:val="20"/>
        </w:rPr>
        <w:t xml:space="preserve">An OpenCV-based graphical overlay renders bounding boxes, class labels, and dual-confidence scores onto the live camera feed. A rule-based routing engine maps final polymer classes to actionable disposal instructions (e.g., PET → BLUE BIN (DRY RECYCLABLE); Battery → HAZARDOUS WASTE FACILITY). The full end-to-end pipeline — from frame capture through routing output — executes in under 6 ms per detected object, sustaining 30–60 FPS on standard edge hardware.</w:t>
      </w:r>
    </w:p>
    <w:p>
      <w:pPr>
        <w:pBdr>
          <w:bottom w:val="single" w:color="003366" w:sz="4" w:space="1"/>
        </w:pBdr>
        <w:spacing w:after="80" w:before="80"/>
      </w:pPr>
      <w:r>
        <w:t xml:space="preserve"/>
      </w:r>
    </w:p>
    <w:p>
      <w:pPr>
        <w:pStyle w:val="Heading1"/>
        <w:spacing w:after="100" w:before="200"/>
      </w:pPr>
      <w:r>
        <w:rPr>
          <w:rFonts w:ascii="Times New Roman" w:cs="Times New Roman" w:eastAsia="Times New Roman" w:hAnsi="Times New Roman"/>
          <w:b/>
          <w:bCs/>
          <w:color w:val="1A5276"/>
          <w:sz w:val="26"/>
          <w:szCs w:val="26"/>
        </w:rPr>
        <w:t xml:space="preserve">IV. Experimental Setup</w:t>
      </w:r>
    </w:p>
    <w:p>
      <w:pPr>
        <w:pStyle w:val="Heading2"/>
        <w:spacing w:after="100" w:before="200"/>
      </w:pPr>
      <w:r>
        <w:rPr>
          <w:rFonts w:ascii="Times New Roman" w:cs="Times New Roman" w:eastAsia="Times New Roman" w:hAnsi="Times New Roman"/>
          <w:b/>
          <w:bCs/>
          <w:color w:val="1A5276"/>
          <w:sz w:val="22"/>
          <w:szCs w:val="22"/>
        </w:rPr>
        <w:t xml:space="preserve">A. Hardware Configuration</w:t>
      </w:r>
    </w:p>
    <w:p>
      <w:pPr>
        <w:spacing w:after="60" w:before="60" w:line="276"/>
        <w:jc w:val="both"/>
      </w:pPr>
      <w:r>
        <w:rPr>
          <w:rFonts w:ascii="Times New Roman" w:cs="Times New Roman" w:eastAsia="Times New Roman" w:hAnsi="Times New Roman"/>
          <w:b w:val="false"/>
          <w:bCs w:val="false"/>
          <w:sz w:val="20"/>
          <w:szCs w:val="20"/>
        </w:rPr>
        <w:t xml:space="preserve">Model training was performed on a system equipped with an NVIDIA RTX 4050 Laptop GPU (6 GB VRAM) utilizing CUDA 12.x acceleration. Live inference is deployed on the same machine with a smartphone camera serving as a high-resolution tethered USB webcam (via Iriun Webcam / DroidCam) to feed the real-time video stream to the PC processing unit. NIR sensing is performed by a compact point-NIR spectrometer; MIR sensing by a compact MIR module, both interfaced via USB to the host system.</w:t>
      </w:r>
    </w:p>
    <w:p>
      <w:pPr>
        <w:pStyle w:val="Heading2"/>
        <w:spacing w:after="100" w:before="200"/>
      </w:pPr>
      <w:r>
        <w:rPr>
          <w:rFonts w:ascii="Times New Roman" w:cs="Times New Roman" w:eastAsia="Times New Roman" w:hAnsi="Times New Roman"/>
          <w:b/>
          <w:bCs/>
          <w:color w:val="1A5276"/>
          <w:sz w:val="22"/>
          <w:szCs w:val="22"/>
        </w:rPr>
        <w:t xml:space="preserve">B. Software Stack</w:t>
      </w:r>
    </w:p>
    <w:p>
      <w:pPr>
        <w:spacing w:after="60" w:before="60" w:line="276"/>
        <w:jc w:val="both"/>
      </w:pPr>
      <w:r>
        <w:rPr>
          <w:rFonts w:ascii="Times New Roman" w:cs="Times New Roman" w:eastAsia="Times New Roman" w:hAnsi="Times New Roman"/>
          <w:b w:val="false"/>
          <w:bCs w:val="false"/>
          <w:sz w:val="20"/>
          <w:szCs w:val="20"/>
        </w:rPr>
        <w:t xml:space="preserve">The full software stack is listed in Table 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AAAAAA" w:sz="1"/>
              <w:left w:val="single" w:color="AAAAAA" w:sz="1"/>
              <w:bottom w:val="single" w:color="AAAAAA" w:sz="1"/>
              <w:right w:val="single" w:color="AAAAAA" w:sz="1"/>
            </w:tcBorders>
            <w:shd w:fill="1A527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Component</w:t>
            </w:r>
          </w:p>
        </w:tc>
        <w:tc>
          <w:tcPr>
            <w:tcW w:type="dxa" w:w="5526"/>
            <w:tcBorders>
              <w:top w:val="single" w:color="AAAAAA" w:sz="1"/>
              <w:left w:val="single" w:color="AAAAAA" w:sz="1"/>
              <w:bottom w:val="single" w:color="AAAAAA" w:sz="1"/>
              <w:right w:val="single" w:color="AAAAAA" w:sz="1"/>
            </w:tcBorders>
            <w:shd w:fill="1A527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Library / Version</w:t>
            </w:r>
          </w:p>
        </w:tc>
      </w:tr>
      <w:tr>
        <w:tc>
          <w:tcPr>
            <w:tcW w:type="dxa" w:w="35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Programming Language</w:t>
            </w:r>
          </w:p>
        </w:tc>
        <w:tc>
          <w:tcPr>
            <w:tcW w:type="dxa" w:w="5526"/>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Python 3.10+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Deep Learning Framework</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PyTorch + Ultralytics YOLOv11 (≥8.3.0)</w:t>
            </w:r>
          </w:p>
        </w:tc>
      </w:tr>
      <w:tr>
        <w:tc>
          <w:tcPr>
            <w:tcW w:type="dxa" w:w="35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Computer Vision</w:t>
            </w:r>
          </w:p>
        </w:tc>
        <w:tc>
          <w:tcPr>
            <w:tcW w:type="dxa" w:w="5526"/>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OpenCV (cv2 ≥4.8.0)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Numerical Processing</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NumPy ≥1.24.0</w:t>
            </w:r>
          </w:p>
        </w:tc>
      </w:tr>
      <w:tr>
        <w:tc>
          <w:tcPr>
            <w:tcW w:type="dxa" w:w="35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Image Processing</w:t>
            </w:r>
          </w:p>
        </w:tc>
        <w:tc>
          <w:tcPr>
            <w:tcW w:type="dxa" w:w="5526"/>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Pillow ≥10.0.0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Visualization</w:t>
            </w:r>
          </w:p>
        </w:tc>
        <w:tc>
          <w:tcPr>
            <w:tcW w:type="dxa" w:w="5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Matplotlib ≥3.7.0</w:t>
            </w:r>
          </w:p>
        </w:tc>
      </w:tr>
      <w:tr>
        <w:tc>
          <w:tcPr>
            <w:tcW w:type="dxa" w:w="35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GPU Acceleration</w:t>
            </w:r>
          </w:p>
        </w:tc>
        <w:tc>
          <w:tcPr>
            <w:tcW w:type="dxa" w:w="5526"/>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NVIDIA CUDA 12.x</w:t>
            </w:r>
          </w:p>
        </w:tc>
      </w:tr>
    </w:tbl>
    <w:p>
      <w:pPr>
        <w:spacing w:after="60" w:before="60"/>
      </w:pPr>
      <w:r>
        <w:t xml:space="preserve"/>
      </w:r>
    </w:p>
    <w:p>
      <w:pPr>
        <w:spacing w:after="100" w:before="60"/>
        <w:jc w:val="center"/>
      </w:pPr>
      <w:r>
        <w:rPr>
          <w:rFonts w:ascii="Times New Roman" w:cs="Times New Roman" w:eastAsia="Times New Roman" w:hAnsi="Times New Roman"/>
          <w:b/>
          <w:bCs/>
          <w:sz w:val="18"/>
          <w:szCs w:val="18"/>
        </w:rPr>
        <w:t xml:space="preserve">TABLE I. SOFTWARE STACK</w:t>
      </w:r>
    </w:p>
    <w:p>
      <w:pPr>
        <w:pStyle w:val="Heading2"/>
        <w:spacing w:after="100" w:before="200"/>
      </w:pPr>
      <w:r>
        <w:rPr>
          <w:rFonts w:ascii="Times New Roman" w:cs="Times New Roman" w:eastAsia="Times New Roman" w:hAnsi="Times New Roman"/>
          <w:b/>
          <w:bCs/>
          <w:color w:val="1A5276"/>
          <w:sz w:val="22"/>
          <w:szCs w:val="22"/>
        </w:rPr>
        <w:t xml:space="preserve">C. Dataset Composition</w:t>
      </w:r>
    </w:p>
    <w:p>
      <w:pPr>
        <w:spacing w:after="60" w:before="60" w:line="276"/>
        <w:jc w:val="both"/>
      </w:pPr>
      <w:r>
        <w:rPr>
          <w:rFonts w:ascii="Times New Roman" w:cs="Times New Roman" w:eastAsia="Times New Roman" w:hAnsi="Times New Roman"/>
          <w:b w:val="false"/>
          <w:bCs w:val="false"/>
          <w:sz w:val="20"/>
          <w:szCs w:val="20"/>
        </w:rPr>
        <w:t xml:space="preserve">Two distinct datasets were employed for the two YOLOv11 sub-models, as summarized in Table II.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00"/>
        <w:gridCol w:w="1426"/>
      </w:tblGrid>
      <w:tr>
        <w:trPr>
          <w:tblHeader/>
        </w:trPr>
        <w:tc>
          <w:tcPr>
            <w:tcW w:type="dxa" w:w="2200"/>
            <w:tcBorders>
              <w:top w:val="single" w:color="AAAAAA" w:sz="1"/>
              <w:left w:val="single" w:color="AAAAAA" w:sz="1"/>
              <w:bottom w:val="single" w:color="AAAAAA" w:sz="1"/>
              <w:right w:val="single" w:color="AAAAAA" w:sz="1"/>
            </w:tcBorders>
            <w:shd w:fill="1A527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Model</w:t>
            </w:r>
          </w:p>
        </w:tc>
        <w:tc>
          <w:tcPr>
            <w:tcW w:type="dxa" w:w="2000"/>
            <w:tcBorders>
              <w:top w:val="single" w:color="AAAAAA" w:sz="1"/>
              <w:left w:val="single" w:color="AAAAAA" w:sz="1"/>
              <w:bottom w:val="single" w:color="AAAAAA" w:sz="1"/>
              <w:right w:val="single" w:color="AAAAAA" w:sz="1"/>
            </w:tcBorders>
            <w:shd w:fill="1A527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Dataset Size</w:t>
            </w:r>
          </w:p>
        </w:tc>
        <w:tc>
          <w:tcPr>
            <w:tcW w:type="dxa" w:w="1800"/>
            <w:tcBorders>
              <w:top w:val="single" w:color="AAAAAA" w:sz="1"/>
              <w:left w:val="single" w:color="AAAAAA" w:sz="1"/>
              <w:bottom w:val="single" w:color="AAAAAA" w:sz="1"/>
              <w:right w:val="single" w:color="AAAAAA" w:sz="1"/>
            </w:tcBorders>
            <w:shd w:fill="1A527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Classes</w:t>
            </w:r>
          </w:p>
        </w:tc>
        <w:tc>
          <w:tcPr>
            <w:tcW w:type="dxa" w:w="1600"/>
            <w:tcBorders>
              <w:top w:val="single" w:color="AAAAAA" w:sz="1"/>
              <w:left w:val="single" w:color="AAAAAA" w:sz="1"/>
              <w:bottom w:val="single" w:color="AAAAAA" w:sz="1"/>
              <w:right w:val="single" w:color="AAAAAA" w:sz="1"/>
            </w:tcBorders>
            <w:shd w:fill="1A527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Resolution</w:t>
            </w:r>
          </w:p>
        </w:tc>
        <w:tc>
          <w:tcPr>
            <w:tcW w:type="dxa" w:w="1426"/>
            <w:tcBorders>
              <w:top w:val="single" w:color="AAAAAA" w:sz="1"/>
              <w:left w:val="single" w:color="AAAAAA" w:sz="1"/>
              <w:bottom w:val="single" w:color="AAAAAA" w:sz="1"/>
              <w:right w:val="single" w:color="AAAAAA" w:sz="1"/>
            </w:tcBorders>
            <w:shd w:fill="1A527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Split</w:t>
            </w:r>
          </w:p>
        </w:tc>
      </w:tr>
      <w:tr>
        <w:tc>
          <w:tcPr>
            <w:tcW w:type="dxa" w:w="22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YOLOv11s (Detection)</w:t>
            </w:r>
          </w:p>
        </w:tc>
        <w:tc>
          <w:tcPr>
            <w:tcW w:type="dxa" w:w="20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&gt;10,000 images</w:t>
            </w:r>
          </w:p>
        </w:tc>
        <w:tc>
          <w:tcPr>
            <w:tcW w:type="dxa" w:w="18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 macro-classes</w:t>
            </w:r>
          </w:p>
        </w:tc>
        <w:tc>
          <w:tcPr>
            <w:tcW w:type="dxa" w:w="16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Variable</w:t>
            </w:r>
          </w:p>
        </w:tc>
        <w:tc>
          <w:tcPr>
            <w:tcW w:type="dxa" w:w="1426"/>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Standard YOLO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YOLOv11s-cls (Classification)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12,259 images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 fine-grained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384×384 px</w:t>
            </w:r>
          </w:p>
        </w:tc>
        <w:tc>
          <w:tcPr>
            <w:tcW w:type="dxa" w:w="1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80% train / 20% val</w:t>
            </w:r>
          </w:p>
        </w:tc>
      </w:tr>
    </w:tbl>
    <w:p>
      <w:pPr>
        <w:spacing w:after="60" w:before="60"/>
      </w:pPr>
      <w:r>
        <w:t xml:space="preserve"/>
      </w:r>
    </w:p>
    <w:p>
      <w:pPr>
        <w:spacing w:after="100" w:before="60"/>
        <w:jc w:val="center"/>
      </w:pPr>
      <w:r>
        <w:rPr>
          <w:rFonts w:ascii="Times New Roman" w:cs="Times New Roman" w:eastAsia="Times New Roman" w:hAnsi="Times New Roman"/>
          <w:b/>
          <w:bCs/>
          <w:sz w:val="18"/>
          <w:szCs w:val="18"/>
        </w:rPr>
        <w:t xml:space="preserve">TABLE II. DATASET CONFIGURATION</w:t>
      </w:r>
    </w:p>
    <w:p>
      <w:pPr>
        <w:spacing w:after="60" w:before="60" w:line="276"/>
        <w:jc w:val="both"/>
      </w:pPr>
      <w:r>
        <w:rPr>
          <w:rFonts w:ascii="Times New Roman" w:cs="Times New Roman" w:eastAsia="Times New Roman" w:hAnsi="Times New Roman"/>
          <w:b w:val="false"/>
          <w:bCs w:val="false"/>
          <w:sz w:val="20"/>
          <w:szCs w:val="20"/>
        </w:rPr>
        <w:t xml:space="preserve">To mitigate RAM overflow during DataLoader iteration on the detection model, batch sizes were dynamically scaled from 16 to 8, and DataLoader worker counts were optimized to match available CPU cores.</w:t>
      </w:r>
    </w:p>
    <w:p>
      <w:pPr>
        <w:pBdr>
          <w:bottom w:val="single" w:color="003366" w:sz="4" w:space="1"/>
        </w:pBdr>
        <w:spacing w:after="80" w:before="80"/>
      </w:pPr>
      <w:r>
        <w:t xml:space="preserve"/>
      </w:r>
    </w:p>
    <w:p>
      <w:pPr>
        <w:pStyle w:val="Heading1"/>
        <w:spacing w:after="100" w:before="200"/>
      </w:pPr>
      <w:r>
        <w:rPr>
          <w:rFonts w:ascii="Times New Roman" w:cs="Times New Roman" w:eastAsia="Times New Roman" w:hAnsi="Times New Roman"/>
          <w:b/>
          <w:bCs/>
          <w:color w:val="1A5276"/>
          <w:sz w:val="26"/>
          <w:szCs w:val="26"/>
        </w:rPr>
        <w:t xml:space="preserve">V. Results and Performance Analysis</w:t>
      </w:r>
    </w:p>
    <w:p>
      <w:pPr>
        <w:spacing w:after="60" w:before="60" w:line="276"/>
        <w:jc w:val="both"/>
      </w:pPr>
      <w:r>
        <w:rPr>
          <w:rFonts w:ascii="Times New Roman" w:cs="Times New Roman" w:eastAsia="Times New Roman" w:hAnsi="Times New Roman"/>
          <w:b w:val="false"/>
          <w:bCs w:val="false"/>
          <w:sz w:val="20"/>
          <w:szCs w:val="20"/>
        </w:rPr>
        <w:t xml:space="preserve">Table III presents a consolidated performance summary across all system components.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AAAAAA" w:sz="1"/>
              <w:left w:val="single" w:color="AAAAAA" w:sz="1"/>
              <w:bottom w:val="single" w:color="AAAAAA" w:sz="1"/>
              <w:right w:val="single" w:color="AAAAAA" w:sz="1"/>
            </w:tcBorders>
            <w:shd w:fill="1A527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Metric</w:t>
            </w:r>
          </w:p>
        </w:tc>
        <w:tc>
          <w:tcPr>
            <w:tcW w:type="dxa" w:w="4026"/>
            <w:tcBorders>
              <w:top w:val="single" w:color="AAAAAA" w:sz="1"/>
              <w:left w:val="single" w:color="AAAAAA" w:sz="1"/>
              <w:bottom w:val="single" w:color="AAAAAA" w:sz="1"/>
              <w:right w:val="single" w:color="AAAAAA" w:sz="1"/>
            </w:tcBorders>
            <w:shd w:fill="1A527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8"/>
                <w:szCs w:val="18"/>
              </w:rPr>
              <w:t xml:space="preserve">Value</w:t>
            </w:r>
          </w:p>
        </w:tc>
      </w:tr>
      <w:tr>
        <w:tc>
          <w:tcPr>
            <w:tcW w:type="dxa" w:w="50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Detection mAP@50</w:t>
            </w:r>
          </w:p>
        </w:tc>
        <w:tc>
          <w:tcPr>
            <w:tcW w:type="dxa" w:w="4026"/>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55.1%</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Classification Top-1 Accuracy</w:t>
            </w:r>
          </w:p>
        </w:tc>
        <w:tc>
          <w:tcPr>
            <w:tcW w:type="dxa" w:w="4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95.7%</w:t>
            </w:r>
          </w:p>
        </w:tc>
      </w:tr>
      <w:tr>
        <w:tc>
          <w:tcPr>
            <w:tcW w:type="dxa" w:w="50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Classification Top-5 Accuracy</w:t>
            </w:r>
          </w:p>
        </w:tc>
        <w:tc>
          <w:tcPr>
            <w:tcW w:type="dxa" w:w="4026"/>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99.7%</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Detection Inference Latency</w:t>
            </w:r>
          </w:p>
        </w:tc>
        <w:tc>
          <w:tcPr>
            <w:tcW w:type="dxa" w:w="4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4.5 ms/image (~222 FPS)</w:t>
            </w:r>
          </w:p>
        </w:tc>
      </w:tr>
      <w:tr>
        <w:tc>
          <w:tcPr>
            <w:tcW w:type="dxa" w:w="50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Classification Inference Latency</w:t>
            </w:r>
          </w:p>
        </w:tc>
        <w:tc>
          <w:tcPr>
            <w:tcW w:type="dxa" w:w="4026"/>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 ms/image (~1,250 FPS)</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Combined Pipeline Latency (per object)</w:t>
            </w:r>
          </w:p>
        </w:tc>
        <w:tc>
          <w:tcPr>
            <w:tcW w:type="dxa" w:w="4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&lt;6 ms</w:t>
            </w:r>
          </w:p>
        </w:tc>
      </w:tr>
      <w:tr>
        <w:tc>
          <w:tcPr>
            <w:tcW w:type="dxa" w:w="50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End-to-End System Framerate</w:t>
            </w:r>
          </w:p>
        </w:tc>
        <w:tc>
          <w:tcPr>
            <w:tcW w:type="dxa" w:w="4026"/>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30–60 FPS</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GPU Memory (Training, Peak)</w:t>
            </w:r>
          </w:p>
        </w:tc>
        <w:tc>
          <w:tcPr>
            <w:tcW w:type="dxa" w:w="4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2.45 GB (RTX 4050)</w:t>
            </w:r>
          </w:p>
        </w:tc>
      </w:tr>
      <w:tr>
        <w:tc>
          <w:tcPr>
            <w:tcW w:type="dxa" w:w="50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NIR Classification (Standard Plastic, PVC)</w:t>
            </w:r>
          </w:p>
        </w:tc>
        <w:tc>
          <w:tcPr>
            <w:tcW w:type="dxa" w:w="4026"/>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89.87% confidence — Correct</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NIR Classification (Black Plastic, HDPE)</w:t>
            </w:r>
          </w:p>
        </w:tc>
        <w:tc>
          <w:tcPr>
            <w:tcW w:type="dxa" w:w="4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15.00% confidence — Fallback Triggered</w:t>
            </w:r>
          </w:p>
        </w:tc>
      </w:tr>
      <w:tr>
        <w:tc>
          <w:tcPr>
            <w:tcW w:type="dxa" w:w="5000"/>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MIR Recovery Accuracy (Black Plastic)</w:t>
            </w:r>
          </w:p>
        </w:tc>
        <w:tc>
          <w:tcPr>
            <w:tcW w:type="dxa" w:w="4026"/>
            <w:tcBorders>
              <w:top w:val="single" w:color="AAAAAA" w:sz="1"/>
              <w:left w:val="single" w:color="AAAAAA" w:sz="1"/>
              <w:bottom w:val="single" w:color="AAAAAA" w:sz="1"/>
              <w:right w:val="single" w:color="AAAAAA" w:sz="1"/>
            </w:tcBorders>
            <w:shd w:fill="EAF2F8"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99.0% — Correct (HDPE)</w:t>
            </w:r>
          </w:p>
        </w:tc>
      </w:tr>
    </w:tbl>
    <w:p>
      <w:pPr>
        <w:spacing w:after="60" w:before="60"/>
      </w:pPr>
      <w:r>
        <w:t xml:space="preserve"/>
      </w:r>
    </w:p>
    <w:p>
      <w:pPr>
        <w:spacing w:after="120" w:before="60"/>
        <w:jc w:val="center"/>
      </w:pPr>
      <w:r>
        <w:rPr>
          <w:rFonts w:ascii="Times New Roman" w:cs="Times New Roman" w:eastAsia="Times New Roman" w:hAnsi="Times New Roman"/>
          <w:b/>
          <w:bCs/>
          <w:sz w:val="18"/>
          <w:szCs w:val="18"/>
        </w:rPr>
        <w:t xml:space="preserve">TABLE III. SYSTEM PERFORMANCE SUMMARY</w:t>
      </w:r>
    </w:p>
    <w:p>
      <w:pPr>
        <w:pStyle w:val="Heading2"/>
        <w:spacing w:after="100" w:before="200"/>
      </w:pPr>
      <w:r>
        <w:rPr>
          <w:rFonts w:ascii="Times New Roman" w:cs="Times New Roman" w:eastAsia="Times New Roman" w:hAnsi="Times New Roman"/>
          <w:b/>
          <w:bCs/>
          <w:color w:val="1A5276"/>
          <w:sz w:val="22"/>
          <w:szCs w:val="22"/>
        </w:rPr>
        <w:t xml:space="preserve">A. Visual Pipeline Performance</w:t>
      </w:r>
    </w:p>
    <w:p>
      <w:pPr>
        <w:spacing w:after="60" w:before="60" w:line="276"/>
        <w:jc w:val="both"/>
      </w:pPr>
      <w:r>
        <w:rPr>
          <w:rFonts w:ascii="Times New Roman" w:cs="Times New Roman" w:eastAsia="Times New Roman" w:hAnsi="Times New Roman"/>
          <w:b w:val="false"/>
          <w:bCs w:val="false"/>
          <w:sz w:val="20"/>
          <w:szCs w:val="20"/>
        </w:rPr>
        <w:t xml:space="preserve">The YOLOv11s detection model achieved a mAP@50 of 55.1%, a reasonable baseline given the diversity of the detection dataset and the deliberate choice of a small (YOLOv11s) model to preserve edge-deployment viability. The classification model substantially exceeded expectations, reaching 95.7% Top-1 accuracy and 99.7% Top-5 accuracy — the latter indicating that in virtually all cases, the correct polymer type appears within the model's top five predictions. Training convergence was smooth: loss fell from 2.358 at epoch 1 to 0.050 at epoch 54 (as captured in Fig. 1, the training update log), with Top-1 accuracy reading 93.6% at epoch 35 and continuing to improve before early stopping at epoch 70.</w:t>
      </w:r>
    </w:p>
    <w:p>
      <w:pPr>
        <w:pStyle w:val="Heading2"/>
        <w:spacing w:after="100" w:before="200"/>
      </w:pPr>
      <w:r>
        <w:rPr>
          <w:rFonts w:ascii="Times New Roman" w:cs="Times New Roman" w:eastAsia="Times New Roman" w:hAnsi="Times New Roman"/>
          <w:b/>
          <w:bCs/>
          <w:color w:val="1A5276"/>
          <w:sz w:val="22"/>
          <w:szCs w:val="22"/>
        </w:rPr>
        <w:t xml:space="preserve">B. Spectral Sensing Performance</w:t>
      </w:r>
    </w:p>
    <w:p>
      <w:pPr>
        <w:spacing w:after="60" w:before="60" w:line="276"/>
        <w:jc w:val="both"/>
      </w:pPr>
      <w:r>
        <w:rPr>
          <w:rFonts w:ascii="Times New Roman" w:cs="Times New Roman" w:eastAsia="Times New Roman" w:hAnsi="Times New Roman"/>
          <w:b w:val="false"/>
          <w:bCs w:val="false"/>
          <w:sz w:val="20"/>
          <w:szCs w:val="20"/>
        </w:rPr>
        <w:t xml:space="preserve">The NIR sensor performed reliably on standard colored plastics: a PVC sample produced an 89.87% confidence prediction, comfortably above the 85% threshold. On carbon-black HDPE, however, the NIR signal was severely attenuated, returning only 15.00% confidence — a drop of 74.87 percentage points that correctly triggered the fallback mechanism. The MIR sensor subsequently identified the same black HDPE sample with 99.0% confidence, demonstrating the complementary spectral coverage of the two sensing modalities.</w:t>
      </w:r>
    </w:p>
    <w:p>
      <w:pPr>
        <w:pStyle w:val="Heading2"/>
        <w:spacing w:after="100" w:before="200"/>
      </w:pPr>
      <w:r>
        <w:rPr>
          <w:rFonts w:ascii="Times New Roman" w:cs="Times New Roman" w:eastAsia="Times New Roman" w:hAnsi="Times New Roman"/>
          <w:b/>
          <w:bCs/>
          <w:color w:val="1A5276"/>
          <w:sz w:val="22"/>
          <w:szCs w:val="22"/>
        </w:rPr>
        <w:t xml:space="preserve">C. Training Efficiency</w:t>
      </w:r>
    </w:p>
    <w:p>
      <w:pPr>
        <w:spacing w:after="60" w:before="60" w:line="276"/>
        <w:jc w:val="both"/>
      </w:pPr>
      <w:r>
        <w:rPr>
          <w:rFonts w:ascii="Times New Roman" w:cs="Times New Roman" w:eastAsia="Times New Roman" w:hAnsi="Times New Roman"/>
          <w:b w:val="false"/>
          <w:bCs w:val="false"/>
          <w:sz w:val="20"/>
          <w:szCs w:val="20"/>
        </w:rPr>
        <w:t xml:space="preserve">The classification model reached near-convergence (loss = 0.050) within 54 of the planned 100 epochs, with early stopping terminating training at epoch 70. Total training time for the classification model was approximately 90 minutes on the RTX 4050, at a processing throughput of 8.1 iterations per second. Peak GPU memory consumption during training was 2.45 GB, well within the constraints of the 6 GB VRAM budget.</w:t>
      </w:r>
    </w:p>
    <w:p>
      <w:pPr>
        <w:pBdr>
          <w:bottom w:val="single" w:color="003366" w:sz="4" w:space="1"/>
        </w:pBdr>
        <w:spacing w:after="80" w:before="80"/>
      </w:pPr>
      <w:r>
        <w:t xml:space="preserve"/>
      </w:r>
    </w:p>
    <w:p>
      <w:pPr>
        <w:pStyle w:val="Heading1"/>
        <w:spacing w:after="100" w:before="200"/>
      </w:pPr>
      <w:r>
        <w:rPr>
          <w:rFonts w:ascii="Times New Roman" w:cs="Times New Roman" w:eastAsia="Times New Roman" w:hAnsi="Times New Roman"/>
          <w:b/>
          <w:bCs/>
          <w:color w:val="1A5276"/>
          <w:sz w:val="26"/>
          <w:szCs w:val="26"/>
        </w:rPr>
        <w:t xml:space="preserve">VI. Discussion</w:t>
      </w:r>
    </w:p>
    <w:p>
      <w:pPr>
        <w:spacing w:after="60" w:before="60" w:line="276"/>
        <w:jc w:val="both"/>
      </w:pPr>
      <w:r>
        <w:rPr>
          <w:rFonts w:ascii="Times New Roman" w:cs="Times New Roman" w:eastAsia="Times New Roman" w:hAnsi="Times New Roman"/>
          <w:b w:val="false"/>
          <w:bCs w:val="false"/>
          <w:sz w:val="20"/>
          <w:szCs w:val="20"/>
        </w:rPr>
        <w:t xml:space="preserve">The results demonstrate that decoupling detection from classification — rather than relying on a single monolithic model — is a productive architectural strategy for waste sorting. The lightweight YOLOv11s-cls model outperforms reported accuracies of several heavier single-model approaches from the literature [4], [5], while operating at inference speeds that make real-time deployment practical even on resource-constrained hardware.</w:t>
      </w:r>
    </w:p>
    <w:p>
      <w:pPr>
        <w:spacing w:after="60" w:before="60" w:line="276"/>
        <w:jc w:val="both"/>
      </w:pPr>
      <w:r>
        <w:rPr>
          <w:rFonts w:ascii="Times New Roman" w:cs="Times New Roman" w:eastAsia="Times New Roman" w:hAnsi="Times New Roman"/>
          <w:b w:val="false"/>
          <w:bCs w:val="false"/>
          <w:sz w:val="20"/>
          <w:szCs w:val="20"/>
        </w:rPr>
        <w:t xml:space="preserve">The confidence-gated NIR→MIR fallback constitutes the most novel contribution of this work. The empirical demonstration that a 74.87-percentage-point confidence collapse on a black plastic sample reliably identifies when NIR sensing has failed — and that MIR subsequently restores accuracy to 99.0% — validates the architectural decision to treat spectral sensing modalities as complementary rather than interchangeable.</w:t>
      </w:r>
    </w:p>
    <w:p>
      <w:pPr>
        <w:spacing w:after="60" w:before="60" w:line="276"/>
        <w:jc w:val="both"/>
      </w:pPr>
      <w:r>
        <w:rPr>
          <w:rFonts w:ascii="Times New Roman" w:cs="Times New Roman" w:eastAsia="Times New Roman" w:hAnsi="Times New Roman"/>
          <w:b w:val="false"/>
          <w:bCs w:val="false"/>
          <w:sz w:val="20"/>
          <w:szCs w:val="20"/>
        </w:rPr>
        <w:t xml:space="preserve">The detection mAP@50 of 55.1% represents the principal limitation of the current system. This is attributable to the heterogeneity of real-world waste appearance, occlusion on conveyor belts, and the use of a small model variant. Larger model variants (YOLOv11m, YOLOv11l) are expected to improve localization accuracy, at the cost of increased inference latency.</w:t>
      </w:r>
    </w:p>
    <w:p>
      <w:pPr>
        <w:pBdr>
          <w:bottom w:val="single" w:color="003366" w:sz="4" w:space="1"/>
        </w:pBdr>
        <w:spacing w:after="80" w:before="80"/>
      </w:pPr>
      <w:r>
        <w:t xml:space="preserve"/>
      </w:r>
    </w:p>
    <w:p>
      <w:pPr>
        <w:pStyle w:val="Heading1"/>
        <w:spacing w:after="100" w:before="200"/>
      </w:pPr>
      <w:r>
        <w:rPr>
          <w:rFonts w:ascii="Times New Roman" w:cs="Times New Roman" w:eastAsia="Times New Roman" w:hAnsi="Times New Roman"/>
          <w:b/>
          <w:bCs/>
          <w:color w:val="1A5276"/>
          <w:sz w:val="26"/>
          <w:szCs w:val="26"/>
        </w:rPr>
        <w:t xml:space="preserve">VII. Future Work</w:t>
      </w:r>
    </w:p>
    <w:p>
      <w:pPr>
        <w:spacing w:after="60" w:before="60" w:line="276"/>
        <w:jc w:val="both"/>
      </w:pPr>
      <w:r>
        <w:rPr>
          <w:rFonts w:ascii="Times New Roman" w:cs="Times New Roman" w:eastAsia="Times New Roman" w:hAnsi="Times New Roman"/>
          <w:b w:val="false"/>
          <w:bCs w:val="false"/>
          <w:sz w:val="20"/>
          <w:szCs w:val="20"/>
        </w:rPr>
        <w:t xml:space="preserve">Several extensions to the current system are planned:</w:t>
      </w:r>
    </w:p>
    <w:p>
      <w:pPr>
        <w:pStyle w:val="ListParagraph"/>
        <w:numPr>
          <w:ilvl w:val="0"/>
          <w:numId w:val="2"/>
        </w:numPr>
        <w:spacing w:after="40" w:before="40"/>
      </w:pPr>
      <w:r>
        <w:rPr>
          <w:rFonts w:ascii="Times New Roman" w:cs="Times New Roman" w:eastAsia="Times New Roman" w:hAnsi="Times New Roman"/>
          <w:sz w:val="20"/>
          <w:szCs w:val="20"/>
        </w:rPr>
        <w:t xml:space="preserve">Edge Deployment: Port the full three-modality pipeline onto NVIDIA Jetson Nano or Raspberry Pi 5 for fully autonomous, embedded operation without a host PC.</w:t>
      </w:r>
    </w:p>
    <w:p>
      <w:pPr>
        <w:pStyle w:val="ListParagraph"/>
        <w:numPr>
          <w:ilvl w:val="0"/>
          <w:numId w:val="2"/>
        </w:numPr>
        <w:spacing w:after="40" w:before="40"/>
      </w:pPr>
      <w:r>
        <w:rPr>
          <w:rFonts w:ascii="Times New Roman" w:cs="Times New Roman" w:eastAsia="Times New Roman" w:hAnsi="Times New Roman"/>
          <w:sz w:val="20"/>
          <w:szCs w:val="20"/>
        </w:rPr>
        <w:t xml:space="preserve">Physical Actuation: Integrate the bin-routing output with pneumatic pushers or robotic arms on a conveyor belt to enable fully autonomous physical sorting.</w:t>
      </w:r>
    </w:p>
    <w:p>
      <w:pPr>
        <w:pStyle w:val="ListParagraph"/>
        <w:numPr>
          <w:ilvl w:val="0"/>
          <w:numId w:val="2"/>
        </w:numPr>
        <w:spacing w:after="40" w:before="40"/>
      </w:pPr>
      <w:r>
        <w:rPr>
          <w:rFonts w:ascii="Times New Roman" w:cs="Times New Roman" w:eastAsia="Times New Roman" w:hAnsi="Times New Roman"/>
          <w:sz w:val="20"/>
          <w:szCs w:val="20"/>
        </w:rPr>
        <w:t xml:space="preserve">E-Waste Extension: Adapt the system for mobile phone component recycling streams, incorporating the Polymers Hyperspectral Imaging Dataset for training and the FTIR-Plastics dataset for spectral pre-training.</w:t>
      </w:r>
    </w:p>
    <w:p>
      <w:pPr>
        <w:pStyle w:val="ListParagraph"/>
        <w:numPr>
          <w:ilvl w:val="0"/>
          <w:numId w:val="2"/>
        </w:numPr>
        <w:spacing w:after="40" w:before="40"/>
      </w:pPr>
      <w:r>
        <w:rPr>
          <w:rFonts w:ascii="Times New Roman" w:cs="Times New Roman" w:eastAsia="Times New Roman" w:hAnsi="Times New Roman"/>
          <w:sz w:val="20"/>
          <w:szCs w:val="20"/>
        </w:rPr>
        <w:t xml:space="preserve">Larger Models: Evaluate YOLOv11m and YOLOv11l detection variants to improve mAP@50, accepting the trade-off of increased latency.</w:t>
      </w:r>
    </w:p>
    <w:p>
      <w:pPr>
        <w:pStyle w:val="ListParagraph"/>
        <w:numPr>
          <w:ilvl w:val="0"/>
          <w:numId w:val="2"/>
        </w:numPr>
        <w:spacing w:after="40" w:before="40"/>
      </w:pPr>
      <w:r>
        <w:rPr>
          <w:rFonts w:ascii="Times New Roman" w:cs="Times New Roman" w:eastAsia="Times New Roman" w:hAnsi="Times New Roman"/>
          <w:sz w:val="20"/>
          <w:szCs w:val="20"/>
        </w:rPr>
        <w:t xml:space="preserve">Adaptive Threshold: Replace the fixed 85% NIR confidence threshold with a learned, class-adaptive threshold to reduce false-positive MIR escalations on dimly lit but non-black plastics.</w:t>
      </w:r>
    </w:p>
    <w:p>
      <w:pPr>
        <w:pStyle w:val="ListParagraph"/>
        <w:numPr>
          <w:ilvl w:val="0"/>
          <w:numId w:val="2"/>
        </w:numPr>
        <w:spacing w:after="40" w:before="40"/>
      </w:pPr>
      <w:r>
        <w:rPr>
          <w:rFonts w:ascii="Times New Roman" w:cs="Times New Roman" w:eastAsia="Times New Roman" w:hAnsi="Times New Roman"/>
          <w:sz w:val="20"/>
          <w:szCs w:val="20"/>
        </w:rPr>
        <w:t xml:space="preserve">Multi-Sensor Fusion: Explore late-fusion and attention-based fusion architectures that jointly weight RGB, NIR, and MIR modality outputs rather than treating them as a sequential cascade.</w:t>
      </w:r>
    </w:p>
    <w:p>
      <w:pPr>
        <w:pBdr>
          <w:bottom w:val="single" w:color="003366" w:sz="4" w:space="1"/>
        </w:pBdr>
        <w:spacing w:after="80" w:before="80"/>
      </w:pPr>
      <w:r>
        <w:t xml:space="preserve"/>
      </w:r>
    </w:p>
    <w:p>
      <w:pPr>
        <w:pStyle w:val="Heading1"/>
        <w:spacing w:after="100" w:before="200"/>
      </w:pPr>
      <w:r>
        <w:rPr>
          <w:rFonts w:ascii="Times New Roman" w:cs="Times New Roman" w:eastAsia="Times New Roman" w:hAnsi="Times New Roman"/>
          <w:b/>
          <w:bCs/>
          <w:color w:val="1A5276"/>
          <w:sz w:val="26"/>
          <w:szCs w:val="26"/>
        </w:rPr>
        <w:t xml:space="preserve">VIII. Conclusion</w:t>
      </w:r>
    </w:p>
    <w:p>
      <w:pPr>
        <w:spacing w:after="60" w:before="60" w:line="276"/>
        <w:jc w:val="both"/>
      </w:pPr>
      <w:r>
        <w:rPr>
          <w:rFonts w:ascii="Times New Roman" w:cs="Times New Roman" w:eastAsia="Times New Roman" w:hAnsi="Times New Roman"/>
          <w:b w:val="false"/>
          <w:bCs w:val="false"/>
          <w:sz w:val="20"/>
          <w:szCs w:val="20"/>
        </w:rPr>
        <w:t xml:space="preserve">This paper presented a novel multimodal waste segregation architecture that integrates a dual-stage YOLOv11 deep learning computer vision pipeline with a confidence-gated NIR/MIR spectral sensing cascade. The vision subsystem achieves 95.7% Top-1 polymer classification accuracy with a combined inference latency under 6 ms, sustaining 30–60 FPS on edge-compatible hardware. The spectral subsystem successfully addresses the fundamental failure mode of NIR-only sorting — carbon-black plastic absorption — by autonomously escalating to MIR sensing, recovering classification confidence from 15.0% to 99.0% on black HDPE samples. Together, these contributions establish a practical, low-cost, and extensible multimodal framework for real-time waste segregation, with clear pathways toward industrial deployment and e-waste application.</w:t>
      </w:r>
    </w:p>
    <w:p>
      <w:pPr>
        <w:pBdr>
          <w:bottom w:val="single" w:color="003366" w:sz="4" w:space="1"/>
        </w:pBdr>
        <w:spacing w:after="80" w:before="80"/>
      </w:pPr>
      <w:r>
        <w:t xml:space="preserve"/>
      </w:r>
    </w:p>
    <w:p>
      <w:pPr>
        <w:pStyle w:val="Heading1"/>
        <w:spacing w:after="100" w:before="200"/>
      </w:pPr>
      <w:r>
        <w:rPr>
          <w:rFonts w:ascii="Times New Roman" w:cs="Times New Roman" w:eastAsia="Times New Roman" w:hAnsi="Times New Roman"/>
          <w:b/>
          <w:bCs/>
          <w:color w:val="1A5276"/>
          <w:sz w:val="26"/>
          <w:szCs w:val="26"/>
        </w:rPr>
        <w:t xml:space="preserve">References</w:t>
      </w:r>
    </w:p>
    <w:p>
      <w:pPr>
        <w:spacing w:after="40" w:before="40"/>
        <w:ind w:left="360" w:hanging="360"/>
      </w:pPr>
      <w:r>
        <w:rPr>
          <w:rFonts w:ascii="Times New Roman" w:cs="Times New Roman" w:eastAsia="Times New Roman" w:hAnsi="Times New Roman"/>
          <w:sz w:val="18"/>
          <w:szCs w:val="18"/>
        </w:rPr>
        <w:t xml:space="preserve">[1] World Bank, What a Waste 2.0, World Bank Group, Washington, D.C., 2018.</w:t>
      </w:r>
    </w:p>
    <w:p>
      <w:pPr>
        <w:spacing w:after="40" w:before="40"/>
        <w:ind w:left="360" w:hanging="360"/>
      </w:pPr>
      <w:r>
        <w:rPr>
          <w:rFonts w:ascii="Times New Roman" w:cs="Times New Roman" w:eastAsia="Times New Roman" w:hAnsi="Times New Roman"/>
          <w:sz w:val="18"/>
          <w:szCs w:val="18"/>
        </w:rPr>
        <w:t xml:space="preserve">[2] K. He et al., Deep Residual Learning for Image Recognition, IEEE CVPR, 2016, pp. 770-778.</w:t>
      </w:r>
    </w:p>
    <w:p>
      <w:pPr>
        <w:spacing w:after="40" w:before="40"/>
        <w:ind w:left="360" w:hanging="360"/>
      </w:pPr>
      <w:r>
        <w:rPr>
          <w:rFonts w:ascii="Times New Roman" w:cs="Times New Roman" w:eastAsia="Times New Roman" w:hAnsi="Times New Roman"/>
          <w:sz w:val="18"/>
          <w:szCs w:val="18"/>
        </w:rPr>
        <w:t xml:space="preserve">[3] A. G. Howard et al., MobileNets: Efficient Convolutional Neural Networks, arXiv:1704.04861, 2017.</w:t>
      </w:r>
    </w:p>
    <w:p>
      <w:pPr>
        <w:spacing w:after="40" w:before="40"/>
        <w:ind w:left="360" w:hanging="360"/>
      </w:pPr>
      <w:r>
        <w:rPr>
          <w:rFonts w:ascii="Times New Roman" w:cs="Times New Roman" w:eastAsia="Times New Roman" w:hAnsi="Times New Roman"/>
          <w:sz w:val="18"/>
          <w:szCs w:val="18"/>
        </w:rPr>
        <w:t xml:space="preserve">[4] J. Redmon and A. Farhadi, YOLOv3: An Incremental Improvement, arXiv:1804.02767, 2018.</w:t>
      </w:r>
    </w:p>
    <w:p>
      <w:pPr>
        <w:spacing w:after="40" w:before="40"/>
        <w:ind w:left="360" w:hanging="360"/>
      </w:pPr>
      <w:r>
        <w:rPr>
          <w:rFonts w:ascii="Times New Roman" w:cs="Times New Roman" w:eastAsia="Times New Roman" w:hAnsi="Times New Roman"/>
          <w:sz w:val="18"/>
          <w:szCs w:val="18"/>
        </w:rPr>
        <w:t xml:space="preserve">[5] G. Jocher et al., Ultralytics YOLOv11, Ultralytics, 2024.</w:t>
      </w:r>
    </w:p>
    <w:p>
      <w:pPr>
        <w:spacing w:after="40" w:before="40"/>
        <w:ind w:left="360" w:hanging="360"/>
      </w:pPr>
      <w:r>
        <w:rPr>
          <w:rFonts w:ascii="Times New Roman" w:cs="Times New Roman" w:eastAsia="Times New Roman" w:hAnsi="Times New Roman"/>
          <w:sz w:val="18"/>
          <w:szCs w:val="18"/>
        </w:rPr>
        <w:t xml:space="preserve">[6] A. Eisenreich, Near Infrared Reflection Analysis of Polymers, Polym. Test., vol. 3, no. 4, pp. 253-263, 1983.</w:t>
      </w:r>
    </w:p>
    <w:p>
      <w:pPr>
        <w:spacing w:after="40" w:before="40"/>
        <w:ind w:left="360" w:hanging="360"/>
      </w:pPr>
      <w:r>
        <w:rPr>
          <w:rFonts w:ascii="Times New Roman" w:cs="Times New Roman" w:eastAsia="Times New Roman" w:hAnsi="Times New Roman"/>
          <w:sz w:val="18"/>
          <w:szCs w:val="18"/>
        </w:rPr>
        <w:t xml:space="preserve">[7] B. Pitak and P. Ruckdee, Plastic Waste Classification by Near-Infrared Spectroscopy, Waste Manag., vol. 89, pp. 98-106, 2019.</w:t>
      </w:r>
    </w:p>
    <w:p>
      <w:pPr>
        <w:spacing w:after="40" w:before="40"/>
        <w:ind w:left="360" w:hanging="360"/>
      </w:pPr>
      <w:r>
        <w:rPr>
          <w:rFonts w:ascii="Times New Roman" w:cs="Times New Roman" w:eastAsia="Times New Roman" w:hAnsi="Times New Roman"/>
          <w:sz w:val="18"/>
          <w:szCs w:val="18"/>
        </w:rPr>
        <w:t xml:space="preserve">[8] S. B. Kim et al., Rapid Classification of Polyolefins Using Near-Infrared Spectroscopy, J. Anal. Appl. Pyrolysis, vol. 123, pp. 79-85, 2017.</w:t>
      </w:r>
    </w:p>
    <w:p>
      <w:pPr>
        <w:spacing w:after="40" w:before="40"/>
        <w:ind w:left="360" w:hanging="360"/>
      </w:pPr>
      <w:r>
        <w:rPr>
          <w:rFonts w:ascii="Times New Roman" w:cs="Times New Roman" w:eastAsia="Times New Roman" w:hAnsi="Times New Roman"/>
          <w:sz w:val="18"/>
          <w:szCs w:val="18"/>
        </w:rPr>
        <w:t xml:space="preserve">[9] M. Zhu et al., Hyperspectral Imaging for Rapid Identification of Plastic Waste, Spectrochim. Acta A, vol. 222, p. 117187, 2019.</w:t>
      </w:r>
    </w:p>
    <w:p>
      <w:pPr>
        <w:spacing w:after="40" w:before="40"/>
        <w:ind w:left="360" w:hanging="360"/>
      </w:pPr>
      <w:r>
        <w:rPr>
          <w:rFonts w:ascii="Times New Roman" w:cs="Times New Roman" w:eastAsia="Times New Roman" w:hAnsi="Times New Roman"/>
          <w:sz w:val="18"/>
          <w:szCs w:val="18"/>
        </w:rPr>
        <w:t xml:space="preserve">[10] R. Feldhoff et al., NIR Reflection Spectroscopy for Identification of Black Plastics, Appl. Spectrosc., vol. 51, no. 3, pp. 362-368, 1997.</w:t>
      </w:r>
    </w:p>
    <w:p>
      <w:pPr>
        <w:spacing w:after="40" w:before="40"/>
        <w:ind w:left="360" w:hanging="360"/>
      </w:pPr>
      <w:r>
        <w:rPr>
          <w:rFonts w:ascii="Times New Roman" w:cs="Times New Roman" w:eastAsia="Times New Roman" w:hAnsi="Times New Roman"/>
          <w:sz w:val="18"/>
          <w:szCs w:val="18"/>
        </w:rPr>
        <w:t xml:space="preserve">[11] L. Serranti, G. Gargiulo, and G. Bonifazi, Characterization of Post-Consumer Polyolefin Wastes, Waste Manag., vol. 31, no. 11, pp. 2217-2227, 2011.</w:t>
      </w:r>
    </w:p>
    <w:p>
      <w:pPr>
        <w:spacing w:after="40" w:before="40"/>
        <w:ind w:left="360" w:hanging="360"/>
      </w:pPr>
      <w:r>
        <w:rPr>
          <w:rFonts w:ascii="Times New Roman" w:cs="Times New Roman" w:eastAsia="Times New Roman" w:hAnsi="Times New Roman"/>
          <w:sz w:val="18"/>
          <w:szCs w:val="18"/>
        </w:rPr>
        <w:t xml:space="preserve">[12] G. Widner et al., MIR Spectroscopy for Identification of Recyclable Black Plastics, J. Near Infrared Spectrosc., vol. 28, no. 4, pp. 237-246, 2020.</w:t>
      </w:r>
    </w:p>
    <w:p>
      <w:pPr>
        <w:spacing w:after="40" w:before="40"/>
        <w:ind w:left="360" w:hanging="360"/>
      </w:pPr>
      <w:r>
        <w:rPr>
          <w:rFonts w:ascii="Times New Roman" w:cs="Times New Roman" w:eastAsia="Times New Roman" w:hAnsi="Times New Roman"/>
          <w:sz w:val="18"/>
          <w:szCs w:val="18"/>
        </w:rPr>
        <w:t xml:space="preserve">[13] M. Banerjee et al., ZeroWaste Dataset: Towards Deformable Object Segmentation, IEEE CVPR, 2022.</w:t>
      </w:r>
    </w:p>
    <w:p>
      <w:pPr>
        <w:spacing w:after="40" w:before="40"/>
        <w:ind w:left="360" w:hanging="360"/>
      </w:pPr>
      <w:r>
        <w:rPr>
          <w:rFonts w:ascii="Times New Roman" w:cs="Times New Roman" w:eastAsia="Times New Roman" w:hAnsi="Times New Roman"/>
          <w:sz w:val="18"/>
          <w:szCs w:val="18"/>
        </w:rPr>
        <w:t xml:space="preserve">[14] G. Thung and M. Yang, Classification of Trash for Recyclability Status, Stanford CS229, 2016.</w:t>
      </w:r>
    </w:p>
    <w:p>
      <w:pPr>
        <w:spacing w:after="40" w:before="40"/>
        <w:ind w:left="360" w:hanging="360"/>
      </w:pPr>
      <w:r>
        <w:rPr>
          <w:rFonts w:ascii="Times New Roman" w:cs="Times New Roman" w:eastAsia="Times New Roman" w:hAnsi="Times New Roman"/>
          <w:sz w:val="18"/>
          <w:szCs w:val="18"/>
        </w:rPr>
        <w:t xml:space="preserve">[15] P. Martinez et al., SpectralWaste Dataset: Multimodal Data for Waste Sorting, ECCV Workshops, 2022.</w:t>
      </w:r>
    </w:p>
    <w:p>
      <w:pPr>
        <w:spacing w:after="40" w:before="40"/>
        <w:ind w:left="360" w:hanging="360"/>
      </w:pPr>
      <w:r>
        <w:rPr>
          <w:rFonts w:ascii="Times New Roman" w:cs="Times New Roman" w:eastAsia="Times New Roman" w:hAnsi="Times New Roman"/>
          <w:sz w:val="18"/>
          <w:szCs w:val="18"/>
        </w:rPr>
        <w:t xml:space="preserve">[16] A. Borja et al., Polymers Hyperspectral Imaging Dataset, Data in Brief, vol. 42, p. 108196, 2022.</w:t>
      </w:r>
    </w:p>
    <w:sectPr>
      <w:pgSz w:w="12240" w:h="15840" w:orient="portrait"/>
      <w:pgMar w:top="1440" w:right="1008" w:bottom="144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Times New Roman" w:cs="Times New Roman" w:eastAsia="Times New Roman" w:hAnsi="Times New Roman"/>
      <w:b/>
      <w:bCs/>
      <w:color w:val="1A5276"/>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2026-06-26T09:00:17.746Z</dcterms:created>
  <dcterms:modified xsi:type="dcterms:W3CDTF">2026-06-26T09:00:17.746Z</dcterms:modified>
</cp:coreProperties>
</file>

<file path=docProps/custom.xml><?xml version="1.0" encoding="utf-8"?>
<Properties xmlns="http://schemas.openxmlformats.org/officeDocument/2006/custom-properties" xmlns:vt="http://schemas.openxmlformats.org/officeDocument/2006/docPropsVTypes"/>
</file>