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Multimodal Waste Segregation Architecture: Integrating Dual-Stage YOLOv11 Deep Learning with Confidence-Gated Spectral Sensing</w:t>
      </w:r>
    </w:p>
    <w:p>
      <w:pPr>
        <w:jc w:val="center"/>
      </w:pPr>
      <w:r>
        <w:rPr>
          <w:rFonts w:ascii="Times New Roman" w:hAnsi="Times New Roman"/>
          <w:i/>
          <w:sz w:val="22"/>
        </w:rPr>
        <w:t>[Author Names]</w:t>
        <w:br/>
        <w:t>[Department/Institution]</w:t>
        <w:br/>
        <w:t>[Email]</w:t>
      </w:r>
    </w:p>
    <w:p/>
    <w:p>
      <w:r>
        <w:rPr>
          <w:rFonts w:ascii="Times New Roman" w:hAnsi="Times New Roman"/>
          <w:b/>
          <w:sz w:val="18"/>
        </w:rPr>
        <w:t>Abstract—</w:t>
      </w:r>
      <w:r>
        <w:rPr>
          <w:rFonts w:ascii="Times New Roman" w:hAnsi="Times New Roman"/>
          <w:sz w:val="18"/>
        </w:rPr>
        <w:t>The rapid accumulation of global waste necessitates intelligent automation in waste segregation to improve recycling efficiency and reduce environmental impact. This paper presents a real-time, AI-driven waste detection and classification system that fuses computer vision with multispectral sensing. Utilizing a dual-stage deep learning pipeline based on YOLOv11, the vision subsystem first localizes waste objects in a live camera feed and subsequently classifies them into one of ten categories with 95.7% Top-1 accuracy. To address the fundamental limitations of optical computer vision—specifically, the identification of visually identical polymers and carbon-black plastics—the architecture incorporates a confidence-gated Near-Infrared (NIR) and Mid-Infrared (MIR) spectral sensing cascade. The NIR SVM model achieves 97.12% accuracy on non-black plastics, while the MIR Random Forest classifier recovers carbon-black failures with 100% test accuracy. The system operates in real-time under 6 ms latency per object, establishing a practical, low-cost, and extensible framework for autonomous industrial recycling facilities.</w:t>
      </w:r>
    </w:p>
    <w:p>
      <w:r>
        <w:rPr>
          <w:rFonts w:ascii="Times New Roman" w:hAnsi="Times New Roman"/>
          <w:b/>
          <w:sz w:val="18"/>
        </w:rPr>
        <w:t>Index Terms—</w:t>
      </w:r>
      <w:r>
        <w:rPr>
          <w:rFonts w:ascii="Times New Roman" w:hAnsi="Times New Roman"/>
          <w:sz w:val="18"/>
        </w:rPr>
        <w:t>Waste Segregation, Deep Learning, Computer Vision, YOLOv11, Near-Infrared (NIR), Mid-Infrared (MIR), Sensor Fusion, Real-time Processing.</w:t>
      </w:r>
    </w:p>
    <w:p>
      <w:pPr>
        <w:jc w:val="center"/>
      </w:pPr>
      <w:r>
        <w:rPr>
          <w:rFonts w:ascii="Times New Roman" w:hAnsi="Times New Roman"/>
          <w:smallCaps/>
          <w:sz w:val="20"/>
        </w:rPr>
        <w:t>I. INTRODUCTION</w:t>
      </w:r>
    </w:p>
    <w:p>
      <w:pPr>
        <w:jc w:val="both"/>
      </w:pPr>
      <w:r>
        <w:rPr>
          <w:rFonts w:ascii="Times New Roman" w:hAnsi="Times New Roman"/>
          <w:sz w:val="20"/>
        </w:rPr>
        <w:t>Effective waste management is a critical global challenge, with municipal solid waste generation expected to reach 3.40 billion tonnes annually by 2050 [1]. Current manual sorting facilities are labor-intensive, hazardous, and prone to human error, resulting in contaminated recycling streams.</w:t>
      </w:r>
    </w:p>
    <w:p>
      <w:pPr>
        <w:jc w:val="both"/>
      </w:pPr>
      <w:r>
        <w:rPr>
          <w:rFonts w:ascii="Times New Roman" w:hAnsi="Times New Roman"/>
          <w:sz w:val="20"/>
        </w:rPr>
        <w:t>Recent advancements in deep learning, particularly Convolutional Neural Networks (CNNs) [2][3] and real-time object detection architectures like YOLO [4][5], have enabled automated visual sorting. However, standard RGB-based computer vision struggles with visually identical polymer types (e.g., clear PET vs. clear PVC) and opaque materials. Spectral sensing, primarily Near-Infrared (NIR) spectroscopy [6][7], solves polymer identification [8][9] but fails on carbon-black plastics due to severe signal absorption [10][11]. Mid-Infrared (MIR) spectroscopy can identify black plastics [12] but is typically too slow and expensive for primary screening.</w:t>
      </w:r>
    </w:p>
    <w:p>
      <w:pPr>
        <w:jc w:val="both"/>
      </w:pPr>
      <w:r>
        <w:rPr>
          <w:rFonts w:ascii="Times New Roman" w:hAnsi="Times New Roman"/>
          <w:sz w:val="20"/>
        </w:rPr>
        <w:t>This paper proposes a unified, multimodal architecture that integrates a novel Two-Stage YOLOv11 Vision Pipeline with a Confidence-Gated NIR/MIR Sensing Cascade. By decoupling detection from classification and intelligently escalating spectral analysis only when required, the system achieves exceptional accuracy and real-time inference speeds suitable for edge-hardware deployment.</w:t>
      </w:r>
    </w:p>
    <w:p>
      <w:pPr>
        <w:jc w:val="center"/>
      </w:pPr>
      <w:r>
        <w:rPr>
          <w:rFonts w:ascii="Times New Roman" w:hAnsi="Times New Roman"/>
          <w:smallCaps/>
          <w:sz w:val="20"/>
        </w:rPr>
        <w:t>II. SYSTEM ARCHITECTURE</w:t>
      </w:r>
    </w:p>
    <w:p>
      <w:pPr>
        <w:jc w:val="left"/>
      </w:pPr>
      <w:r>
        <w:rPr>
          <w:rFonts w:ascii="Times New Roman" w:hAnsi="Times New Roman"/>
          <w:i/>
          <w:sz w:val="20"/>
        </w:rPr>
        <w:t>A. Two-Stage Vision Pipeline</w:t>
      </w:r>
    </w:p>
    <w:p>
      <w:pPr>
        <w:jc w:val="both"/>
      </w:pPr>
      <w:r>
        <w:rPr>
          <w:rFonts w:ascii="Times New Roman" w:hAnsi="Times New Roman"/>
          <w:sz w:val="20"/>
        </w:rPr>
        <w:t>Instead of relying on a single monolithic model which often struggles with nuanced classifications, we introduce a dual-stage pipeline. Stage 1 (YOLOv11s) scans the entire video frame in real-time to localize objects resembling waste. Stage 2 (YOLOv11s-cls) processes the isolated crops to determine exact material composition, categorizing them into one of 10 distinct classes.</w:t>
      </w:r>
    </w:p>
    <w:p>
      <w:pPr>
        <w:jc w:val="left"/>
      </w:pPr>
      <w:r>
        <w:rPr>
          <w:rFonts w:ascii="Times New Roman" w:hAnsi="Times New Roman"/>
          <w:i/>
          <w:sz w:val="20"/>
        </w:rPr>
        <w:t>B. Confidence-Gated Spectral Cascade</w:t>
      </w:r>
    </w:p>
    <w:p>
      <w:pPr>
        <w:jc w:val="both"/>
      </w:pPr>
      <w:r>
        <w:rPr>
          <w:rFonts w:ascii="Times New Roman" w:hAnsi="Times New Roman"/>
          <w:sz w:val="20"/>
        </w:rPr>
        <w:t>To resolve ambiguities that optical vision cannot (e.g., sorting visually identical plastics), the system employs spectral sensors. Primary screening uses an NIR Hyperspectral Imaging (HSI) sensor. If the NIR confidence exceeds 85% and reflectance is &gt; 0.08, the prediction is accepted. If confidence falls below 85% (the characteristic failure signature of black plastic absorbing 400-1000 nm light), the system triggers MIR sensing, which penetrates carbon black to recover the classification.</w:t>
      </w:r>
    </w:p>
    <w:p>
      <w:pPr>
        <w:jc w:val="left"/>
      </w:pPr>
      <w:r>
        <w:rPr>
          <w:rFonts w:ascii="Times New Roman" w:hAnsi="Times New Roman"/>
          <w:i/>
          <w:sz w:val="20"/>
        </w:rPr>
        <w:t>C. Hardware Integration</w:t>
      </w:r>
    </w:p>
    <w:p>
      <w:pPr>
        <w:jc w:val="both"/>
      </w:pPr>
      <w:r>
        <w:rPr>
          <w:rFonts w:ascii="Times New Roman" w:hAnsi="Times New Roman"/>
          <w:sz w:val="20"/>
        </w:rPr>
        <w:t>Model training and live inference execute on an NVIDIA RTX 4050 Laptop GPU (6 GB VRAM). The optical feed is provided by a smartphone camera serving as a high-resolution tethered USB webcam (via Iriun Webcam / DroidCam), minimizing deployment costs. NIR and MIR sensing modules are interfaced via USB.</w:t>
      </w:r>
    </w:p>
    <w:p>
      <w:pPr>
        <w:jc w:val="center"/>
      </w:pPr>
      <w:r>
        <w:rPr>
          <w:rFonts w:ascii="Times New Roman" w:hAnsi="Times New Roman"/>
          <w:smallCaps/>
          <w:sz w:val="20"/>
        </w:rPr>
        <w:t>III. DATASET AND PREPROCESSING</w:t>
      </w:r>
    </w:p>
    <w:p>
      <w:pPr>
        <w:jc w:val="both"/>
      </w:pPr>
      <w:r>
        <w:rPr>
          <w:rFonts w:ascii="Times New Roman" w:hAnsi="Times New Roman"/>
          <w:sz w:val="20"/>
        </w:rPr>
        <w:t>The deep learning models were trained using distinct datasets to optimize localization and classification. The YOLOv11s detection model was trained on &gt;10,000 images across 6 classes (Biodegradable, Cardboard, Glass, Metal, Paper, Plastic). The YOLOv11s-cls model was trained on 12,259 cropped images across 10 classes.</w:t>
      </w:r>
    </w:p>
    <w:p>
      <w:pPr>
        <w:jc w:val="both"/>
      </w:pPr>
      <w:r>
        <w:rPr>
          <w:rFonts w:ascii="Times New Roman" w:hAnsi="Times New Roman"/>
          <w:sz w:val="20"/>
        </w:rPr>
        <w:t>For the spectral subsystem, the primary NIR SVM model (RBF kernel, C=10.0) was trained on 1,220 subimages (64x64 pixels x 232 bands) using Z-score normalization. The backup MIR Random Forest model (200 trees) was trained on 2,649 samples spanning 3736 wavenumbers (399.19–4000.60 cm⁻¹), utilizing Savitzky–Golay filtering and Standard Normal Variate (SNV) scaling.</w:t>
      </w:r>
    </w:p>
    <w:p>
      <w:pPr>
        <w:jc w:val="center"/>
      </w:pPr>
      <w:r>
        <w:rPr>
          <w:rFonts w:ascii="Times New Roman" w:hAnsi="Times New Roman"/>
          <w:smallCaps/>
          <w:sz w:val="20"/>
        </w:rPr>
        <w:t>IV. RESULTS AND PERFORMANCE ANALYSIS</w:t>
      </w:r>
    </w:p>
    <w:p>
      <w:pPr>
        <w:jc w:val="left"/>
      </w:pPr>
      <w:r>
        <w:rPr>
          <w:rFonts w:ascii="Times New Roman" w:hAnsi="Times New Roman"/>
          <w:i/>
          <w:sz w:val="20"/>
        </w:rPr>
        <w:t>A. Visual Pipeline Performance</w:t>
      </w:r>
    </w:p>
    <w:p>
      <w:pPr>
        <w:jc w:val="both"/>
      </w:pPr>
      <w:r>
        <w:rPr>
          <w:rFonts w:ascii="Times New Roman" w:hAnsi="Times New Roman"/>
          <w:sz w:val="20"/>
        </w:rPr>
        <w:t>The YOLOv11s detection model achieved a mAP@50 of 55.1%, preserving edge-deployment viability. The decoupled classification model substantially exceeded expectations, reaching 95.7% Top-1 accuracy and 99.7% Top-5 accuracy. Training convergence was smooth: loss fell to 0.050 at epoch 54. The combined sequential inference of both models executes in under 6 milliseconds per object, easily sustaining 30–60 FPS.</w:t>
      </w:r>
    </w:p>
    <w:p>
      <w:pPr>
        <w:jc w:val="left"/>
      </w:pPr>
      <w:r>
        <w:rPr>
          <w:rFonts w:ascii="Times New Roman" w:hAnsi="Times New Roman"/>
          <w:i/>
          <w:sz w:val="20"/>
        </w:rPr>
        <w:t>B. Spectral Sensing Performance</w:t>
      </w:r>
    </w:p>
    <w:p>
      <w:pPr>
        <w:jc w:val="both"/>
      </w:pPr>
      <w:r>
        <w:rPr>
          <w:rFonts w:ascii="Times New Roman" w:hAnsi="Times New Roman"/>
          <w:sz w:val="20"/>
        </w:rPr>
        <w:t>The NIR sensor performed reliably on standard colored plastics (e.g., 89.87% confidence on clear PVC). On carbon-black HDPE, the NIR signal severely attenuated, returning only 15.00% confidence. This drop correctly triggered the fallback mechanism. The MIR Random Forest classifier subsequently identified the black HDPE sample with 99.0% confidence. Overall, the NIR SVM model achieved 97.12% test accuracy, while the MIR backup model achieved 100% test accuracy on challenging samples.</w:t>
      </w:r>
    </w:p>
    <w:p>
      <w:pPr>
        <w:jc w:val="center"/>
      </w:pPr>
      <w:r>
        <w:rPr>
          <w:rFonts w:ascii="Times New Roman" w:hAnsi="Times New Roman"/>
          <w:smallCaps/>
          <w:sz w:val="20"/>
        </w:rPr>
        <w:t>V. DISCUSSION &amp; CONCLUSION</w:t>
      </w:r>
    </w:p>
    <w:p>
      <w:pPr>
        <w:jc w:val="both"/>
      </w:pPr>
      <w:r>
        <w:rPr>
          <w:rFonts w:ascii="Times New Roman" w:hAnsi="Times New Roman"/>
          <w:sz w:val="20"/>
        </w:rPr>
        <w:t>The results demonstrate that decoupling detection from classification is a highly productive architectural strategy, outperforming monolithic approaches in latency and accuracy. Furthermore, the confidence-gated NIR→MIR fallback constitutes a major contribution, empirically proving that treating spectral sensing modalities as a complementary sequence solves the critical failure mode of black plastic sorting. Together, these contributions establish a practical, low-cost, and extensible framework for real-time waste segregation.</w:t>
      </w:r>
    </w:p>
    <w:p>
      <w:pPr>
        <w:jc w:val="center"/>
      </w:pPr>
      <w:r>
        <w:rPr>
          <w:rFonts w:ascii="Times New Roman" w:hAnsi="Times New Roman"/>
          <w:smallCaps/>
          <w:sz w:val="20"/>
        </w:rPr>
        <w:t>REFERENCES</w:t>
      </w:r>
    </w:p>
    <w:p>
      <w:r>
        <w:rPr>
          <w:rFonts w:ascii="Times New Roman" w:hAnsi="Times New Roman"/>
          <w:sz w:val="18"/>
        </w:rPr>
        <w:t>[1] World Bank, What a Waste 2.0, World Bank Group, Washington, D.C., 2018.</w:t>
      </w:r>
    </w:p>
    <w:p>
      <w:r>
        <w:rPr>
          <w:rFonts w:ascii="Times New Roman" w:hAnsi="Times New Roman"/>
          <w:sz w:val="18"/>
        </w:rPr>
        <w:t>[2] K. He et al., Deep Residual Learning for Image Recognition, IEEE CVPR, 2016, pp. 770-778.</w:t>
      </w:r>
    </w:p>
    <w:p>
      <w:r>
        <w:rPr>
          <w:rFonts w:ascii="Times New Roman" w:hAnsi="Times New Roman"/>
          <w:sz w:val="18"/>
        </w:rPr>
        <w:t>[3] G. Jocher et al., Ultralytics YOLOv11, Ultralytics, 2024.</w:t>
      </w:r>
    </w:p>
    <w:p>
      <w:r>
        <w:rPr>
          <w:rFonts w:ascii="Times New Roman" w:hAnsi="Times New Roman"/>
          <w:sz w:val="18"/>
        </w:rPr>
        <w:t>[4] G. Thung and M. Yang, Classification of Trash for Recyclability Status, Stanford CS229, 2016.</w:t>
      </w:r>
    </w:p>
    <w:p>
      <w:r>
        <w:rPr>
          <w:rFonts w:ascii="Times New Roman" w:hAnsi="Times New Roman"/>
          <w:sz w:val="18"/>
        </w:rPr>
        <w:t>[5] B. Pitak and P. Ruckdee, Plastic Waste Classification by Near-Infrared Spectroscopy, Waste Manag., vol. 89, pp. 98-106, 2019.</w:t>
      </w:r>
    </w:p>
    <w:p>
      <w:r>
        <w:rPr>
          <w:rFonts w:ascii="Times New Roman" w:hAnsi="Times New Roman"/>
          <w:sz w:val="18"/>
        </w:rPr>
        <w:t>[6] R. Feldhoff et al., NIR Reflection Spectroscopy for Identification of Black Plastics, Appl. Spectrosc., vol. 51, no. 3, pp. 362-368, 1997.</w:t>
      </w:r>
    </w:p>
    <w:p>
      <w:r>
        <w:rPr>
          <w:rFonts w:ascii="Times New Roman" w:hAnsi="Times New Roman"/>
          <w:sz w:val="18"/>
        </w:rPr>
        <w:t>[7] G. Widner et al., MIR Spectroscopy for Identification of Recyclable Black Plastics, J. Near Infrared Spectrosc., vol. 28, no. 4, pp. 237-246, 2020.</w:t>
      </w:r>
    </w:p>
    <w:p>
      <w:r>
        <w:rPr>
          <w:rFonts w:ascii="Times New Roman" w:hAnsi="Times New Roman"/>
          <w:sz w:val="18"/>
        </w:rPr>
        <w:t>[8] M. Zhu et al., Hyperspectral Imaging for Rapid Identification of Plastic Waste, Spectrochim. Acta A, vol. 222, p. 117187, 2019.</w:t>
      </w:r>
    </w:p>
    <w:sectPr w:rsidR="00FC693F" w:rsidRPr="0006063C" w:rsidSect="00034616">
      <w:pgSz w:w="12240" w:h="15840"/>
      <w:pgMar w:top="108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