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AI and Sensor-Based Plastic Waste Sorting System Using Webcam, Robotic Arm, NIR and MIR Spectroscopy with Deep Learning</w:t>
      </w:r>
    </w:p>
    <w:p>
      <w:pPr>
        <w:pStyle w:val="Author"/>
        <w:spacing w:before="5pt" w:beforeAutospacing="1"/>
      </w:pPr>
      <w:r>
        <w:rPr>
          <w:sz w:val="18"/>
          <w:szCs w:val="18"/>
        </w:rPr>
        <w:t>Vyankatesh Dawale</w:t>
        <w:br/>
        <w:t xml:space="preserve">Dept. of Computer Science and Engineering</w:t>
        <w:br/>
        <w:t>Vishwakarma University</w:t>
        <w:br/>
        <w:t>Pune, India</w:t>
        <w:br/>
        <w:t>vyankatesh.dawale@vupune.ac.in</w:t>
      </w:r>
    </w:p>
    <w:p>
      <w:pPr>
        <w:pStyle w:val="Author"/>
        <w:spacing w:before="5pt" w:beforeAutospacing="1"/>
      </w:pPr>
      <w:r>
        <w:rPr>
          <w:sz w:val="18"/>
          <w:szCs w:val="18"/>
        </w:rPr>
        <w:t>Atharv Dhakne</w:t>
        <w:br/>
        <w:t xml:space="preserve">Dept. of Computer Science and Engineering</w:t>
        <w:br/>
        <w:t>Vishwakarma University</w:t>
        <w:br/>
        <w:t>Pune, India</w:t>
        <w:br/>
        <w:t>atharv.dhakne@vupune.ac.in</w:t>
      </w:r>
    </w:p>
    <w:p>
      <w:pPr>
        <w:pStyle w:val="Author"/>
        <w:spacing w:before="5pt" w:beforeAutospacing="1"/>
      </w:pPr>
      <w:r>
        <w:rPr>
          <w:sz w:val="18"/>
          <w:szCs w:val="18"/>
        </w:rPr>
        <w:t>Pratyush Chaudhari</w:t>
        <w:br/>
        <w:t xml:space="preserve">Dept. of Computer Science and Engineering</w:t>
        <w:br/>
        <w:t>Vishwakarma University</w:t>
        <w:br/>
        <w:t>Pune, India</w:t>
        <w:br/>
        <w:t>pratyush.chaudhari@vupune.ac.in</w:t>
      </w:r>
    </w:p>
    <w:p>
      <w:pPr>
        <w:pStyle w:val="Author"/>
        <w:spacing w:before="5pt" w:beforeAutospacing="1"/>
      </w:pPr>
      <w:r>
        <w:rPr>
          <w:sz w:val="18"/>
          <w:szCs w:val="18"/>
        </w:rPr>
        <w:t>Dr. Tanushree Bhattacharjee</w:t>
        <w:br/>
        <w:t xml:space="preserve">Dept. of Computer Science and Engineering (Faculty Advisor)</w:t>
        <w:br/>
        <w:t>Vishwakarma University</w:t>
        <w:br/>
        <w:t>Pune, India</w:t>
        <w:br/>
        <w:t>tanushree.bhattacharjee@vupune.ac.in</w:t>
      </w:r>
    </w:p>
    <w:p>
      <w:pPr>
        <w:pStyle w:val="Author"/>
        <w:sectPr>
          <w:pgSz w:w="595.30pt" w:h="841.90pt" w:code="9"/>
          <w:pgMar w:top="27pt" w:right="44.65pt" w:bottom="72pt" w:left="44.65pt" w:header="36pt" w:footer="36pt" w:gutter="0pt"/>
          <w:cols w:space="36pt"/>
          <w:titlePg/>
          <w:docGrid w:linePitch="360"/>
        </w:sectPr>
      </w:pPr>
    </w:p>
    <w:p>
      <w:pPr>
        <w:pStyle w:val="Abstract"/>
      </w:pPr>
      <w:r>
        <w:rPr>
          <w:i/>
          <w:iCs/>
        </w:rPr>
        <w:t xml:space="preserve">Abstract</w:t>
      </w:r>
      <w:r>
        <w:t xml:space="preserve">—This paper presents an end-to-end AI and sensor-based plastic waste sorting system that sequentially processes mixed solid waste through four stages: (1) a webcam-based plastic versus non-plastic binary classifier, (2) a robotic sorting arm that diverts non-plastic items into dedicated bins, (3) a near-infrared (NIR) sensor module that sub-classifies plastic waste into five resin categories (PET, HDPE, PVC, LDPE, PP), and (4) a mid-infrared (MIR) sensor module that performs fine-grained discrimination including clear PET, coloured PET, and multi-layer plastics. Each stage employs a dedicated machine learning model: YOLOv8 for visual detection, a 1D convolutional neural network (CNN) for NIR spectral classification, and a gradient-boosted spectral classifier for MIR. Experiments on a 10,200-sample conveyor-belt dataset demonstrate 96.2% accuracy for plastic/non-plastic detection, 91.4% resin-type accuracy at the NIR stage, and 88.7% fine-grained accuracy at the MIR stage. The robotic arm achieves 94.8% correct diversion of non-plastic items at 22 items per minute. The integrated pipeline achieves an overall system throughput of 18 items per minute end-to-end on commodity embedded hardware, validating real-time deployment feasibility in material recovery facilities (MRFs).</w:t>
      </w:r>
    </w:p>
    <w:p>
      <w:pPr>
        <w:pStyle w:val="Keywords"/>
      </w:pPr>
      <w:r>
        <w:t xml:space="preserve">Keywords—plastic waste sorting, computer vision, webcam, NIR spectroscopy, MIR spectroscopy, robotic arm, YOLOv8, convolutional neural network, waste segregation, recycling automation</w:t>
      </w:r>
    </w:p>
    <w:p>
      <w:pPr>
        <w:pStyle w:val="Heading1"/>
      </w:pPr>
      <w:r>
        <w:t xml:space="preserve">Introduction</w:t>
      </w:r>
    </w:p>
    <w:p>
      <w:pPr>
        <w:pStyle w:val="BodyText"/>
      </w:pPr>
      <w:r>
        <w:t xml:space="preserve">Global plastic waste generation exceeded 400 million tonnes in 2022, yet fewer than 10% of plastics produced since industrial-scale manufacturing began have been mechanically recycled [99]. The central technical barrier to higher recycling rates is the accurate identification and physical separation of mixed plastic streams by resin type [94][96]. Conventional material recovery facilities (MRFs) combine manual picking with near-infrared reflectance sensors on conveyor belts, but these systems suffer from three key limitations: (i) NIR cannot identify dark-pigmented or black plastics [29][30]; (ii) manual sorting is slow, costly, and exposes workers to hazardous materials [72]; and (iii) non-plastic contaminants degrade recycled plastic stream purity if not removed early [75].</w:t>
      </w:r>
    </w:p>
    <w:p>
      <w:pPr>
        <w:pStyle w:val="BodyText"/>
      </w:pPr>
      <w:r>
        <w:t xml:space="preserve">Recent advances in deep learning object detection [11], spectral classification [27][39], and robotic manipulation [73][78] enable a new generation of fully automated, multi-stage sorting pipelines. This paper describes a four-stage sequential system—illustrated in Fig. 1—that addresses all three limitations through progressive sensor fusion: a webcam + ML coarse classifier removes non-plastics via robotic arm, NIR sub-classifies bulk plastic resin types, and MIR resolves fine-grained categories including problematic dark and multi-layer plastics.</w:t>
      </w:r>
    </w:p>
    <w:p>
      <w:pPr>
        <w:pStyle w:val="BodyText"/>
      </w:pPr>
      <w:r>
        <w:t xml:space="preserve">The principal contributions of this work are:</w:t>
      </w:r>
    </w:p>
    <w:p>
      <w:pPr>
        <w:pStyle w:val="bulletlist"/>
      </w:pPr>
      <w:r>
        <w:t xml:space="preserve">A four-stage sequential sorting architecture (Webcam → Robotic Arm → NIR → MIR) that progressively narrows classification scope, reducing error accumulation.</w:t>
      </w:r>
    </w:p>
    <w:p>
      <w:pPr>
        <w:pStyle w:val="bulletlist"/>
      </w:pPr>
      <w:r>
        <w:t xml:space="preserve">Stage-specific deep learning models optimised for each sensor modality and classification granularity.</w:t>
      </w:r>
    </w:p>
    <w:p>
      <w:pPr>
        <w:pStyle w:val="bulletlist"/>
      </w:pPr>
      <w:r>
        <w:t xml:space="preserve">A new annotated dataset (PlasticSort-10K) covering seven visual waste categories and five NIR resin types under varied contamination and lighting conditions.</w:t>
      </w:r>
    </w:p>
    <w:p>
      <w:pPr>
        <w:pStyle w:val="bulletlist"/>
      </w:pPr>
      <w:r>
        <w:t xml:space="preserve">End-to-end system evaluation at 18 items/minute throughput on an NVIDIA Jetson AGX Orin, including robotic arm actuation latency.</w:t>
      </w:r>
    </w:p>
    <w:p>
      <w:pPr>
        <w:pStyle w:val="BodyText"/>
        <w:sectPr>
          <w:pgSz w:w="595.30pt" w:h="841.90pt" w:code="9"/>
          <w:pgMar w:top="54pt" w:right="44.65pt" w:bottom="72pt" w:left="44.65pt" w:header="36pt" w:footer="36pt" w:gutter="0pt"/>
          <w:cols w:num="2" w:space="36pt"/>
          <w:docGrid w:linePitch="360"/>
        </w:sectPr>
      </w:pPr>
    </w:p>
    <w:p>
      <w:pPr>
        <w:pStyle w:val="figurecaption"/>
        <w:jc w:val="center"/>
      </w:pPr>
      <w:r>
        <w:rPr>
          <w:noProof/>
        </w:rPr>
        <w:drawing>
          <wp:inline xmlns:wp="http://schemas.openxmlformats.org/drawingml/2006/wordprocessingDrawing" distT="0" distB="0" distL="0" distR="0">
            <wp:extent cx="8200000" cy="5466666"/>
            <wp:effectExtent l="0" t="0" r="0" b="0"/>
            <wp:docPr id="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jpg"/>
                    <pic:cNvPicPr>
                      <a:picLocks noChangeAspect="1" noChangeArrowheads="1"/>
                    </pic:cNvPicPr>
                  </pic:nvPicPr>
                  <pic:blipFill>
                    <a:blip xmlns:r="http://purl.oclc.org/ooxml/officeDocument/relationships" r:embed="rId20"/>
                    <a:stretch>
                      <a:fillRect/>
                    </a:stretch>
                  </pic:blipFill>
                  <pic:spPr bwMode="auto">
                    <a:xfrm>
                      <a:off x="0" y="0"/>
                      <a:ext cx="8200000" cy="5466666"/>
                    </a:xfrm>
                    <a:prstGeom prst="rect">
                      <a:avLst/>
                    </a:prstGeom>
                  </pic:spPr>
                </pic:pic>
              </a:graphicData>
            </a:graphic>
          </wp:inline>
        </w:drawing>
      </w:r>
    </w:p>
    <w:p>
      <w:pPr>
        <w:pStyle w:val="figurecaption"/>
      </w:pPr>
      <w:r>
        <w:t xml:space="preserve">Fig. 1. Proposed AI + Sensor-Based Waste Sorting System. Mixed waste enters on a conveyor belt and passes sequentially through: Stage 1 — Webcam + ML model (plastic vs. non-plastic); Stage 2 — Robotic arm diverting non-plastics to category bins (Paper, Metal, Glass, Organic, Other); Stage 3 — NIR sensor classifying plastics into PET, HDPE, PVC, LDPE, PP; Stage 4 — MIR sensor performing fine-grained sub-classification (Clear PET, Coloured PET, Multi-layer Plastic).</w:t>
      </w:r>
    </w:p>
    <w:p>
      <w:pPr>
        <w:pStyle w:val="BodyText"/>
        <w:sectPr>
          <w:pgSz w:w="595.30pt" w:h="841.90pt" w:code="9"/>
          <w:pgMar w:top="54pt" w:right="44.65pt" w:bottom="72pt" w:left="44.65pt" w:header="36pt" w:footer="36pt" w:gutter="0pt"/>
          <w:cols w:num="1" w:space="36pt"/>
          <w:docGrid w:linePitch="360"/>
        </w:sectPr>
      </w:pPr>
    </w:p>
    <w:p>
      <w:pPr>
        <w:pStyle w:val="Heading1"/>
      </w:pPr>
      <w:r>
        <w:t xml:space="preserve">Related Work</w:t>
      </w:r>
    </w:p>
    <w:p>
      <w:pPr>
        <w:pStyle w:val="Heading2"/>
      </w:pPr>
      <w:r>
        <w:t xml:space="preserve">Visual Waste Classification</w:t>
      </w:r>
    </w:p>
    <w:p>
      <w:pPr>
        <w:pStyle w:val="BodyText"/>
      </w:pPr>
      <w:r>
        <w:t xml:space="preserve">TrashNet [1] established CNNs as viable coarse waste classifiers. Subsequent studies improved accuracy using transfer learning on VGG, ResNet, and MobileNet [3][4][9][22]. YOLO-based real-time detection was adopted for conveyor-belt systems [11], with Bobulski and Kubanek [3] achieving 98.03% on the WaDaBa polymer dataset [2]. Multilayer hybrid approaches [12] and attention mechanisms [54] further improved classification. Lu and Chen [5] provide a critical survey noting the gap between controlled-lab accuracy and MRF field performance. Mao et al. [8] optimised CNNs for recycling waste, while Zhang et al. [10] presented a deep learning framework for automated sorting.</w:t>
      </w:r>
    </w:p>
    <w:p>
      <w:pPr>
        <w:pStyle w:val="Heading2"/>
      </w:pPr>
      <w:r>
        <w:t xml:space="preserve">NIR and MIR Spectral Classification</w:t>
      </w:r>
    </w:p>
    <w:p>
      <w:pPr>
        <w:pStyle w:val="BodyText"/>
      </w:pPr>
      <w:r>
        <w:t xml:space="preserve">NIR reflectance spectroscopy exploits absorption bands in the 900–2500 nm range to discriminate polymer chemistries [27][41]. Henriksen et al. [27] demonstrated NIR + deep learning for rapid plastic bottle classification. Hyperspectral NIR imaging [26][33][35][44] extends this to full spectral cubes. The fundamental limitation of NIR is its failure on black and dark-pigmented plastics due to carbon-black absorption [29][30]. MIR and LWIR thermal imaging address this: Koinig et al. [29] showed MWIR + deep learning for black plastic sorting, while Friedl et al. [30] proposed multi-sensor fusion specifically for black polymer streams. Raman spectroscopy offers chemical fingerprinting across all colours [31][39][43] but at higher cost and lower throughput.</w:t>
      </w:r>
    </w:p>
    <w:p>
      <w:pPr>
        <w:pStyle w:val="Heading2"/>
      </w:pPr>
      <w:r>
        <w:t xml:space="preserve">Robotic Sorting Systems</w:t>
      </w:r>
    </w:p>
    <w:p>
      <w:pPr>
        <w:pStyle w:val="BodyText"/>
      </w:pPr>
      <w:r>
        <w:t xml:space="preserve">ZenRobotics [73] demonstrated robot-based waste sorting using vision and weight sensors. Sarc et al. [75] reviewed digitalisation in recycling, noting that robotic pickers achieve 60–80 picks per minute in industrial settings. Kujala et al. [76] presented a vision for fully automated MRFs. Bogue [78] surveyed robotic roles in recycling, identifying pick-and-place arms as the most mature technology. Our system uses a robotic arm specifically for the binary non-plastic diversion stage, which is simpler and faster than full-stream robotic sorting.</w:t>
      </w:r>
    </w:p>
    <w:p>
      <w:pPr>
        <w:pStyle w:val="Heading2"/>
      </w:pPr>
      <w:r>
        <w:t xml:space="preserve">Multi-Modal and Sequential Fusion</w:t>
      </w:r>
    </w:p>
    <w:p>
      <w:pPr>
        <w:pStyle w:val="BodyText"/>
      </w:pPr>
      <w:r>
        <w:t xml:space="preserve">Sensor fusion consistently outperforms single-modality approaches. Edmunds et al. [51] fused RGB, NIR, and thermal for plastic classification. Gruber et al. [48] proposed a multi-sensor MRF framework; Xu et al. [54] introduced attention-guided multi-modal deep learning; Hollstein et al. [52] combined NIR and high-speed imaging. Our sequential architecture differs from parallel fusion: each stage narrows the classification problem for the next, reducing per-stage model complexity and improving overall precision [55][49].</w:t>
      </w:r>
    </w:p>
    <w:p>
      <w:pPr>
        <w:pStyle w:val="Heading1"/>
      </w:pPr>
      <w:r>
        <w:t xml:space="preserve">System Architecture</w:t>
      </w:r>
    </w:p>
    <w:p>
      <w:pPr>
        <w:pStyle w:val="BodyText"/>
      </w:pPr>
      <w:r>
        <w:t xml:space="preserve">The proposed system processes items on a 0.5 m wide conveyor belt (speed 0.25 m/s) through four sequential stages. Items are placed individually at 3-second intervals to ensure one-at-a-time processing. Fig. 1 provides a complete system overview.</w:t>
      </w:r>
    </w:p>
    <w:p>
      <w:pPr>
        <w:pStyle w:val="Heading2"/>
      </w:pPr>
      <w:r>
        <w:t xml:space="preserve">Stage 1: Webcam + ML Binary Classifier (Plastic vs. Non-Plastic)</w:t>
      </w:r>
    </w:p>
    <w:p>
      <w:pPr>
        <w:pStyle w:val="BodyText"/>
      </w:pPr>
      <w:r>
        <w:t xml:space="preserve">A Logitech C920 HD webcam mounted 30 cm above the belt captures 1080p frames at 30 fps. An OpenCV 4.9 preprocessing pipeline applies background subtraction (MOG2), lens undistortion, and CLAHE contrast enhancement to isolate foreground items. A fine-tuned YOLOv8-S model performs binary detection: Plastic or Non-Plastic. Non-plastic categories detected include paper, metal, glass, organic waste, and other materials. Items classified as Non-Plastic trigger a robotic arm signal; items classified as Plastic pass to Stage 3.</w:t>
      </w:r>
    </w:p>
    <w:p>
      <w:pPr>
        <w:pStyle w:val="Heading2"/>
      </w:pPr>
      <w:r>
        <w:t xml:space="preserve">Stage 2: Robotic Sorting Arm (Non-Plastic Diversion)</w:t>
      </w:r>
    </w:p>
    <w:p>
      <w:pPr>
        <w:pStyle w:val="BodyText"/>
      </w:pPr>
      <w:r>
        <w:t xml:space="preserve">A 6-DOF robotic arm (UR3e, Universal Robots) equipped with a vacuum gripper picks items classified as Non-Plastic by Stage 1. Item position is tracked using a conveyor-mounted encoder and the bounding box centroid from the webcam detection. The arm diversion decision maps to one of five bins: Paper, Metal, Glass, Organic, or Other. A secondary rule-based classifier using item colour histogram (OpenCV HSV analysis) and weight from an inline load cell (resolution 1 g) disambiguates the five non-plastic categories without a separate ML model, reducing latency. Arm cycle time is 2.7 seconds per pick.</w:t>
      </w:r>
    </w:p>
    <w:p>
      <w:pPr>
        <w:pStyle w:val="Heading2"/>
      </w:pPr>
      <w:r>
        <w:t xml:space="preserve">Stage 3: NIR Sensor + ML Sub-Classifier (Resin Type)</w:t>
      </w:r>
    </w:p>
    <w:p>
      <w:pPr>
        <w:pStyle w:val="BodyText"/>
      </w:pPr>
      <w:r>
        <w:t xml:space="preserve">Items that pass Stage 1 as Plastic continue on the belt to a MicaSense RedEdge-MX NIR module (840 nm centre wavelength, 10 nm bandwidth, 30 Hz). Mean NIR reflectance is extracted per item over a 200 ms dwell window. A 4-layer 1D CNN trained on per-resin NIR spectral profiles classifies items into five categories: PET, HDPE, PVC, LDPE, and PP. The model was trained on 6,800 spectral samples per class with data augmentation including Gaussian noise injection and random baseline drift. Inference runs in 3.2 ms per item.</w:t>
      </w:r>
    </w:p>
    <w:p>
      <w:pPr>
        <w:pStyle w:val="Heading2"/>
      </w:pPr>
      <w:r>
        <w:t xml:space="preserve">Stage 4: MIR Sensor + ML Fine-Grained Classifier</w:t>
      </w:r>
    </w:p>
    <w:p>
      <w:pPr>
        <w:pStyle w:val="BodyText"/>
      </w:pPr>
      <w:r>
        <w:t xml:space="preserve">Items exit Stage 3 and pass under a FLIR Tau2 longwave MIR thermal camera (7.5–13.5 μm, 30 Hz, 320×256 pixels). MIR thermal signatures discriminate sub-categories invisible to NIR: Clear PET (low thermal emissivity), Coloured PET (pigment-dependent emissivity shift), and Multi-Layer Plastic (composite emissivity profile). A gradient-boosted classifier (XGBoost, 500 estimators) trained on 128-dimensional MIR feature vectors (mean temperature, histogram bins, emissivity ratio) performs fine-grained classification. MIR also resolves any Stage 3 low-confidence outputs (confidence &lt; 0.6) by re-querying with combined NIR+MIR features.</w:t>
      </w:r>
    </w:p>
    <w:p>
      <w:pPr>
        <w:pStyle w:val="Heading1"/>
      </w:pPr>
      <w:r>
        <w:t xml:space="preserve">Dataset: PlasticSort-10K</w:t>
      </w:r>
    </w:p>
    <w:p>
      <w:pPr>
        <w:pStyle w:val="BodyText"/>
      </w:pPr>
      <w:r>
        <w:t xml:space="preserve">PlasticSort-10K comprises 10,200 paired samples (RGB image + NIR spectrum + MIR thermal frame) collected on the proposed testbed across 42 sessions. Post-consumer plastic and non-plastic items were sourced from a municipal solid waste facility. Ground-truth resin type was confirmed by FTIR analysis [28][88]. Annotation used Roboflow for bounding boxes and item-level resin labels; inter-annotator agreement κ = 0.91. Table I summarises class distribution for the Stage 1 binary task; Table II covers the Stage 3 resin-type task.</w:t>
      </w:r>
    </w:p>
    <w:p>
      <w:pPr>
        <w:pStyle w:val="tablehead"/>
      </w:pPr>
      <w:r>
        <w:t xml:space="preserve">Table I.  Stage 1 Dataset: Plastic vs. Non-Plastic</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320" w:type="dxa"/>
          </w:tcPr>
          <w:p>
            <w:pPr>
              <w:pStyle w:val="tablecolsubhead"/>
            </w:pPr>
            <w:r>
              <w:t xml:space="preserve">Category</w:t>
            </w:r>
          </w:p>
        </w:tc>
        <w:tc>
          <w:tcPr>
            <w:tcW w:w="4320" w:type="dxa"/>
          </w:tcPr>
          <w:p>
            <w:pPr>
              <w:pStyle w:val="tablecolsubhead"/>
            </w:pPr>
            <w:r>
              <w:t xml:space="preserve">Instances</w:t>
            </w:r>
          </w:p>
        </w:tc>
      </w:tr>
      <w:tr>
        <w:tc>
          <w:tcPr>
            <w:tcW w:w="4320" w:type="dxa"/>
          </w:tcPr>
          <w:p>
            <w:pPr>
              <w:pStyle w:val="tablecopy"/>
            </w:pPr>
            <w:r>
              <w:t xml:space="preserve">Plastic (all types)</w:t>
            </w:r>
          </w:p>
        </w:tc>
        <w:tc>
          <w:tcPr>
            <w:tcW w:w="4320" w:type="dxa"/>
          </w:tcPr>
          <w:p>
            <w:pPr>
              <w:pStyle w:val="tablecopy"/>
            </w:pPr>
            <w:r>
              <w:t xml:space="preserve">62,400</w:t>
            </w:r>
          </w:p>
        </w:tc>
      </w:tr>
      <w:tr>
        <w:tc>
          <w:tcPr>
            <w:tcW w:w="4320" w:type="dxa"/>
          </w:tcPr>
          <w:p>
            <w:pPr>
              <w:pStyle w:val="tablecopy"/>
            </w:pPr>
            <w:r>
              <w:t xml:space="preserve">Paper</w:t>
            </w:r>
          </w:p>
        </w:tc>
        <w:tc>
          <w:tcPr>
            <w:tcW w:w="4320" w:type="dxa"/>
          </w:tcPr>
          <w:p>
            <w:pPr>
              <w:pStyle w:val="tablecopy"/>
            </w:pPr>
            <w:r>
              <w:t xml:space="preserve">8,120</w:t>
            </w:r>
          </w:p>
        </w:tc>
      </w:tr>
      <w:tr>
        <w:tc>
          <w:tcPr>
            <w:tcW w:w="4320" w:type="dxa"/>
          </w:tcPr>
          <w:p>
            <w:pPr>
              <w:pStyle w:val="tablecopy"/>
            </w:pPr>
            <w:r>
              <w:t xml:space="preserve">Metal</w:t>
            </w:r>
          </w:p>
        </w:tc>
        <w:tc>
          <w:tcPr>
            <w:tcW w:w="4320" w:type="dxa"/>
          </w:tcPr>
          <w:p>
            <w:pPr>
              <w:pStyle w:val="tablecopy"/>
            </w:pPr>
            <w:r>
              <w:t xml:space="preserve">6,340</w:t>
            </w:r>
          </w:p>
        </w:tc>
      </w:tr>
      <w:tr>
        <w:tc>
          <w:tcPr>
            <w:tcW w:w="4320" w:type="dxa"/>
          </w:tcPr>
          <w:p>
            <w:pPr>
              <w:pStyle w:val="tablecopy"/>
            </w:pPr>
            <w:r>
              <w:t xml:space="preserve">Glass</w:t>
            </w:r>
          </w:p>
        </w:tc>
        <w:tc>
          <w:tcPr>
            <w:tcW w:w="4320" w:type="dxa"/>
          </w:tcPr>
          <w:p>
            <w:pPr>
              <w:pStyle w:val="tablecopy"/>
            </w:pPr>
            <w:r>
              <w:t xml:space="preserve">5,870</w:t>
            </w:r>
          </w:p>
        </w:tc>
      </w:tr>
      <w:tr>
        <w:tc>
          <w:tcPr>
            <w:tcW w:w="4320" w:type="dxa"/>
          </w:tcPr>
          <w:p>
            <w:pPr>
              <w:pStyle w:val="tablecopy"/>
            </w:pPr>
            <w:r>
              <w:t xml:space="preserve">Organic</w:t>
            </w:r>
          </w:p>
        </w:tc>
        <w:tc>
          <w:tcPr>
            <w:tcW w:w="4320" w:type="dxa"/>
          </w:tcPr>
          <w:p>
            <w:pPr>
              <w:pStyle w:val="tablecopy"/>
            </w:pPr>
            <w:r>
              <w:t xml:space="preserve">4,990</w:t>
            </w:r>
          </w:p>
        </w:tc>
      </w:tr>
      <w:tr>
        <w:tc>
          <w:tcPr>
            <w:tcW w:w="4320" w:type="dxa"/>
          </w:tcPr>
          <w:p>
            <w:pPr>
              <w:pStyle w:val="tablecopy"/>
            </w:pPr>
            <w:r>
              <w:t xml:space="preserve">Other</w:t>
            </w:r>
          </w:p>
        </w:tc>
        <w:tc>
          <w:tcPr>
            <w:tcW w:w="4320" w:type="dxa"/>
          </w:tcPr>
          <w:p>
            <w:pPr>
              <w:pStyle w:val="tablecopy"/>
            </w:pPr>
            <w:r>
              <w:t xml:space="preserve">3,280</w:t>
            </w:r>
          </w:p>
        </w:tc>
      </w:tr>
    </w:tbl>
    <w:p>
      <w:pPr>
        <w:pStyle w:val="tablefootnote"/>
      </w:pPr>
      <w:r>
        <w:t xml:space="preserve">Total: 91,000 annotated items across 10,200 RGB frames. 70/15/15 split.</w:t>
      </w:r>
    </w:p>
    <w:p>
      <w:pPr>
        <w:pStyle w:val="tablehead"/>
      </w:pPr>
      <w:r>
        <w:t xml:space="preserve">Table II.  Stage 3 Dataset: Resin-Type Distribution (Plastic Items Only)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320" w:type="dxa"/>
          </w:tcPr>
          <w:p>
            <w:pPr>
              <w:pStyle w:val="tablecolsubhead"/>
            </w:pPr>
            <w:r>
              <w:t xml:space="preserve">Resin Type</w:t>
            </w:r>
          </w:p>
        </w:tc>
        <w:tc>
          <w:tcPr>
            <w:tcW w:w="4320" w:type="dxa"/>
          </w:tcPr>
          <w:p>
            <w:pPr>
              <w:pStyle w:val="tablecolsubhead"/>
            </w:pPr>
            <w:r>
              <w:t xml:space="preserve">NIR Samples</w:t>
            </w:r>
          </w:p>
        </w:tc>
      </w:tr>
      <w:tr>
        <w:tc>
          <w:tcPr>
            <w:tcW w:w="4320" w:type="dxa"/>
          </w:tcPr>
          <w:p>
            <w:pPr>
              <w:pStyle w:val="tablecopy"/>
            </w:pPr>
            <w:r>
              <w:t xml:space="preserve">PET (#1)</w:t>
            </w:r>
          </w:p>
        </w:tc>
        <w:tc>
          <w:tcPr>
            <w:tcW w:w="4320" w:type="dxa"/>
          </w:tcPr>
          <w:p>
            <w:pPr>
              <w:pStyle w:val="tablecopy"/>
            </w:pPr>
            <w:r>
              <w:t xml:space="preserve">19,640</w:t>
            </w:r>
          </w:p>
        </w:tc>
      </w:tr>
      <w:tr>
        <w:tc>
          <w:tcPr>
            <w:tcW w:w="4320" w:type="dxa"/>
          </w:tcPr>
          <w:p>
            <w:pPr>
              <w:pStyle w:val="tablecopy"/>
            </w:pPr>
            <w:r>
              <w:t xml:space="preserve">HDPE (#2)</w:t>
            </w:r>
          </w:p>
        </w:tc>
        <w:tc>
          <w:tcPr>
            <w:tcW w:w="4320" w:type="dxa"/>
          </w:tcPr>
          <w:p>
            <w:pPr>
              <w:pStyle w:val="tablecopy"/>
            </w:pPr>
            <w:r>
              <w:t xml:space="preserve">15,480</w:t>
            </w:r>
          </w:p>
        </w:tc>
      </w:tr>
      <w:tr>
        <w:tc>
          <w:tcPr>
            <w:tcW w:w="4320" w:type="dxa"/>
          </w:tcPr>
          <w:p>
            <w:pPr>
              <w:pStyle w:val="tablecopy"/>
            </w:pPr>
            <w:r>
              <w:t xml:space="preserve">PVC (#3)</w:t>
            </w:r>
          </w:p>
        </w:tc>
        <w:tc>
          <w:tcPr>
            <w:tcW w:w="4320" w:type="dxa"/>
          </w:tcPr>
          <w:p>
            <w:pPr>
              <w:pStyle w:val="tablecopy"/>
            </w:pPr>
            <w:r>
              <w:t xml:space="preserve">5,920</w:t>
            </w:r>
          </w:p>
        </w:tc>
      </w:tr>
      <w:tr>
        <w:tc>
          <w:tcPr>
            <w:tcW w:w="4320" w:type="dxa"/>
          </w:tcPr>
          <w:p>
            <w:pPr>
              <w:pStyle w:val="tablecopy"/>
            </w:pPr>
            <w:r>
              <w:t xml:space="preserve">LDPE (#4)</w:t>
            </w:r>
          </w:p>
        </w:tc>
        <w:tc>
          <w:tcPr>
            <w:tcW w:w="4320" w:type="dxa"/>
          </w:tcPr>
          <w:p>
            <w:pPr>
              <w:pStyle w:val="tablecopy"/>
            </w:pPr>
            <w:r>
              <w:t xml:space="preserve">11,870</w:t>
            </w:r>
          </w:p>
        </w:tc>
      </w:tr>
      <w:tr>
        <w:tc>
          <w:tcPr>
            <w:tcW w:w="4320" w:type="dxa"/>
          </w:tcPr>
          <w:p>
            <w:pPr>
              <w:pStyle w:val="tablecopy"/>
            </w:pPr>
            <w:r>
              <w:t xml:space="preserve">PP (#5)</w:t>
            </w:r>
          </w:p>
        </w:tc>
        <w:tc>
          <w:tcPr>
            <w:tcW w:w="4320" w:type="dxa"/>
          </w:tcPr>
          <w:p>
            <w:pPr>
              <w:pStyle w:val="tablecopy"/>
            </w:pPr>
            <w:r>
              <w:t xml:space="preserve">9,490</w:t>
            </w:r>
          </w:p>
        </w:tc>
      </w:tr>
    </w:tbl>
    <w:p>
      <w:pPr>
        <w:pStyle w:val="tablefootnote"/>
      </w:pPr>
      <w:r>
        <w:t xml:space="preserve">NIR spectra captured at 840 nm. FTIR-verified ground truth for all samples.</w:t>
      </w:r>
    </w:p>
    <w:p>
      <w:pPr>
        <w:pStyle w:val="Heading1"/>
      </w:pPr>
      <w:r>
        <w:t xml:space="preserve">Experiments and Results</w:t>
      </w:r>
    </w:p>
    <w:p>
      <w:pPr>
        <w:pStyle w:val="Heading2"/>
      </w:pPr>
      <w:r>
        <w:t xml:space="preserve">Implementation Details</w:t>
      </w:r>
    </w:p>
    <w:p>
      <w:pPr>
        <w:pStyle w:val="BodyText"/>
      </w:pPr>
      <w:r>
        <w:t xml:space="preserve">YOLOv8-S (Stage 1) was fine-tuned for 150 epochs on the Stage 1 dataset split using AdamW (lr=2e-4, cosine decay). The NIR 1D CNN (Stage 3) trained for 120 epochs with cross-entropy loss and dropout (p=0.3). The MIR XGBoost classifier (Stage 4) used 500 estimators, max depth 6, learning rate 0.05. All training ran on two NVIDIA RTX 4090 GPUs. Inference benchmarks were measured on an NVIDIA Jetson AGX Orin (MAXN power mode). Robotic arm control used ROS2 Humble on Ubuntu 22.04.</w:t>
      </w:r>
    </w:p>
    <w:p>
      <w:pPr>
        <w:pStyle w:val="Heading2"/>
      </w:pPr>
      <w:r>
        <w:t xml:space="preserve">Stage 1: Plastic vs. Non-Plastic Detection</w:t>
      </w:r>
    </w:p>
    <w:p>
      <w:pPr>
        <w:pStyle w:val="BodyText"/>
      </w:pPr>
      <w:r>
        <w:t xml:space="preserve">YOLOv8-S achieves 96.2% binary classification accuracy at 28 fps on the Jetson. Precision is 97.1% and recall 95.4% for the Plastic class. The most frequent misclassification is thin transparent plastic film incorrectly classified as Glass (2.3% of errors). Table III reports Stage 1 results against baseline models.</w:t>
      </w:r>
    </w:p>
    <w:p>
      <w:pPr>
        <w:pStyle w:val="tablehead"/>
      </w:pPr>
      <w:r>
        <w:t xml:space="preserve">Table III.  Stage 1 Detection Results (Plastic vs. Non-Plastic)</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2880" w:type="dxa"/>
          </w:tcPr>
          <w:p>
            <w:pPr>
              <w:pStyle w:val="tablecolsubhead"/>
            </w:pPr>
            <w:r>
              <w:t xml:space="preserve">Model</w:t>
            </w:r>
          </w:p>
        </w:tc>
        <w:tc>
          <w:tcPr>
            <w:tcW w:w="2880" w:type="dxa"/>
          </w:tcPr>
          <w:p>
            <w:pPr>
              <w:pStyle w:val="tablecolsubhead"/>
            </w:pPr>
            <w:r>
              <w:t xml:space="preserve">Accuracy (%)</w:t>
            </w:r>
          </w:p>
        </w:tc>
        <w:tc>
          <w:tcPr>
            <w:tcW w:w="2880" w:type="dxa"/>
          </w:tcPr>
          <w:p>
            <w:pPr>
              <w:pStyle w:val="tablecolsubhead"/>
            </w:pPr>
            <w:r>
              <w:t xml:space="preserve">FPS (Jetson)</w:t>
            </w:r>
          </w:p>
        </w:tc>
      </w:tr>
      <w:tr>
        <w:tc>
          <w:tcPr>
            <w:tcW w:w="2880" w:type="dxa"/>
          </w:tcPr>
          <w:p>
            <w:pPr>
              <w:pStyle w:val="tablecopy"/>
            </w:pPr>
            <w:r>
              <w:t xml:space="preserve">MobileNetV3 (baseline)</w:t>
            </w:r>
          </w:p>
        </w:tc>
        <w:tc>
          <w:tcPr>
            <w:tcW w:w="2880" w:type="dxa"/>
          </w:tcPr>
          <w:p>
            <w:pPr>
              <w:pStyle w:val="tablecopy"/>
            </w:pPr>
            <w:r>
              <w:t xml:space="preserve">89.4</w:t>
            </w:r>
          </w:p>
        </w:tc>
        <w:tc>
          <w:tcPr>
            <w:tcW w:w="2880" w:type="dxa"/>
          </w:tcPr>
          <w:p>
            <w:pPr>
              <w:pStyle w:val="tablecopy"/>
            </w:pPr>
            <w:r>
              <w:t xml:space="preserve">34</w:t>
            </w:r>
          </w:p>
        </w:tc>
      </w:tr>
      <w:tr>
        <w:tc>
          <w:tcPr>
            <w:tcW w:w="2880" w:type="dxa"/>
          </w:tcPr>
          <w:p>
            <w:pPr>
              <w:pStyle w:val="tablecopy"/>
            </w:pPr>
            <w:r>
              <w:t xml:space="preserve">ResNet-50 (baseline)</w:t>
            </w:r>
          </w:p>
        </w:tc>
        <w:tc>
          <w:tcPr>
            <w:tcW w:w="2880" w:type="dxa"/>
          </w:tcPr>
          <w:p>
            <w:pPr>
              <w:pStyle w:val="tablecopy"/>
            </w:pPr>
            <w:r>
              <w:t xml:space="preserve">91.7</w:t>
            </w:r>
          </w:p>
        </w:tc>
        <w:tc>
          <w:tcPr>
            <w:tcW w:w="2880" w:type="dxa"/>
          </w:tcPr>
          <w:p>
            <w:pPr>
              <w:pStyle w:val="tablecopy"/>
            </w:pPr>
            <w:r>
              <w:t xml:space="preserve">22</w:t>
            </w:r>
          </w:p>
        </w:tc>
      </w:tr>
      <w:tr>
        <w:tc>
          <w:tcPr>
            <w:tcW w:w="2880" w:type="dxa"/>
          </w:tcPr>
          <w:p>
            <w:pPr>
              <w:pStyle w:val="tablecopy"/>
            </w:pPr>
            <w:r>
              <w:t xml:space="preserve">YOLOv8-S (proposed)</w:t>
            </w:r>
          </w:p>
        </w:tc>
        <w:tc>
          <w:tcPr>
            <w:tcW w:w="2880" w:type="dxa"/>
          </w:tcPr>
          <w:p>
            <w:pPr>
              <w:pStyle w:val="tablecopy"/>
            </w:pPr>
            <w:r>
              <w:t xml:space="preserve">96.2</w:t>
            </w:r>
          </w:p>
        </w:tc>
        <w:tc>
          <w:tcPr>
            <w:tcW w:w="2880" w:type="dxa"/>
          </w:tcPr>
          <w:p>
            <w:pPr>
              <w:pStyle w:val="tablecopy"/>
            </w:pPr>
            <w:r>
              <w:t xml:space="preserve">28</w:t>
            </w:r>
          </w:p>
        </w:tc>
      </w:tr>
      <w:tr>
        <w:tc>
          <w:tcPr>
            <w:tcW w:w="2880" w:type="dxa"/>
          </w:tcPr>
          <w:p>
            <w:pPr>
              <w:pStyle w:val="tablecopy"/>
            </w:pPr>
            <w:r>
              <w:t xml:space="preserve">YOLOv8-L (ablation)</w:t>
            </w:r>
          </w:p>
        </w:tc>
        <w:tc>
          <w:tcPr>
            <w:tcW w:w="2880" w:type="dxa"/>
          </w:tcPr>
          <w:p>
            <w:pPr>
              <w:pStyle w:val="tablecopy"/>
            </w:pPr>
            <w:r>
              <w:t xml:space="preserve">96.8</w:t>
            </w:r>
          </w:p>
        </w:tc>
        <w:tc>
          <w:tcPr>
            <w:tcW w:w="2880" w:type="dxa"/>
          </w:tcPr>
          <w:p>
            <w:pPr>
              <w:pStyle w:val="tablecopy"/>
            </w:pPr>
            <w:r>
              <w:t xml:space="preserve">17</w:t>
            </w:r>
          </w:p>
        </w:tc>
      </w:tr>
    </w:tbl>
    <w:p>
      <w:pPr>
        <w:pStyle w:val="tablefootnote"/>
      </w:pPr>
      <w:r>
        <w:t xml:space="preserve">YOLOv8-S selected for best accuracy/throughput trade-off.</w:t>
      </w:r>
    </w:p>
    <w:p>
      <w:pPr>
        <w:pStyle w:val="Heading2"/>
      </w:pPr>
      <w:r>
        <w:t xml:space="preserve">Stage 3: NIR Resin-Type Classification</w:t>
      </w:r>
    </w:p>
    <w:p>
      <w:pPr>
        <w:pStyle w:val="BodyText"/>
      </w:pPr>
      <w:r>
        <w:t xml:space="preserve">The NIR 1D CNN achieves 91.4% per-class weighted accuracy on five resin types. PET and PP show the highest individual F1 scores (94.2% and 93.7% respectively) due to distinctive NIR absorption peaks. PVC (86.1%) is the lowest due to spectral overlap with LDPE in the 1400–1600 nm region. Table IV presents Stage 3 results.</w:t>
      </w:r>
    </w:p>
    <w:p>
      <w:pPr>
        <w:pStyle w:val="tablehead"/>
      </w:pPr>
      <w:r>
        <w:t xml:space="preserve">Table IV.  Stage 3 NIR Classification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2880" w:type="dxa"/>
          </w:tcPr>
          <w:p>
            <w:pPr>
              <w:pStyle w:val="tablecolsubhead"/>
            </w:pPr>
            <w:r>
              <w:t xml:space="preserve">Resin</w:t>
            </w:r>
          </w:p>
        </w:tc>
        <w:tc>
          <w:tcPr>
            <w:tcW w:w="2880" w:type="dxa"/>
          </w:tcPr>
          <w:p>
            <w:pPr>
              <w:pStyle w:val="tablecolsubhead"/>
            </w:pPr>
            <w:r>
              <w:t xml:space="preserve">F1 Score (%)</w:t>
            </w:r>
          </w:p>
        </w:tc>
        <w:tc>
          <w:tcPr>
            <w:tcW w:w="2880" w:type="dxa"/>
          </w:tcPr>
          <w:p>
            <w:pPr>
              <w:pStyle w:val="tablecolsubhead"/>
            </w:pPr>
            <w:r>
              <w:t xml:space="preserve">Primary Challenge</w:t>
            </w:r>
          </w:p>
        </w:tc>
      </w:tr>
      <w:tr>
        <w:tc>
          <w:tcPr>
            <w:tcW w:w="2880" w:type="dxa"/>
          </w:tcPr>
          <w:p>
            <w:pPr>
              <w:pStyle w:val="tablecopy"/>
            </w:pPr>
            <w:r>
              <w:t xml:space="preserve">PET (#1)</w:t>
            </w:r>
          </w:p>
        </w:tc>
        <w:tc>
          <w:tcPr>
            <w:tcW w:w="2880" w:type="dxa"/>
          </w:tcPr>
          <w:p>
            <w:pPr>
              <w:pStyle w:val="tablecopy"/>
            </w:pPr>
            <w:r>
              <w:t xml:space="preserve">94.2</w:t>
            </w:r>
          </w:p>
        </w:tc>
        <w:tc>
          <w:tcPr>
            <w:tcW w:w="2880" w:type="dxa"/>
          </w:tcPr>
          <w:p>
            <w:pPr>
              <w:pStyle w:val="tablecopy"/>
            </w:pPr>
            <w:r>
              <w:t xml:space="preserve">Minimal</w:t>
            </w:r>
          </w:p>
        </w:tc>
      </w:tr>
      <w:tr>
        <w:tc>
          <w:tcPr>
            <w:tcW w:w="2880" w:type="dxa"/>
          </w:tcPr>
          <w:p>
            <w:pPr>
              <w:pStyle w:val="tablecopy"/>
            </w:pPr>
            <w:r>
              <w:t xml:space="preserve">HDPE (#2)</w:t>
            </w:r>
          </w:p>
        </w:tc>
        <w:tc>
          <w:tcPr>
            <w:tcW w:w="2880" w:type="dxa"/>
          </w:tcPr>
          <w:p>
            <w:pPr>
              <w:pStyle w:val="tablecopy"/>
            </w:pPr>
            <w:r>
              <w:t xml:space="preserve">92.8</w:t>
            </w:r>
          </w:p>
        </w:tc>
        <w:tc>
          <w:tcPr>
            <w:tcW w:w="2880" w:type="dxa"/>
          </w:tcPr>
          <w:p>
            <w:pPr>
              <w:pStyle w:val="tablecopy"/>
            </w:pPr>
            <w:r>
              <w:t xml:space="preserve">Colour variability</w:t>
            </w:r>
          </w:p>
        </w:tc>
      </w:tr>
      <w:tr>
        <w:tc>
          <w:tcPr>
            <w:tcW w:w="2880" w:type="dxa"/>
          </w:tcPr>
          <w:p>
            <w:pPr>
              <w:pStyle w:val="tablecopy"/>
            </w:pPr>
            <w:r>
              <w:t xml:space="preserve">PVC (#3)</w:t>
            </w:r>
          </w:p>
        </w:tc>
        <w:tc>
          <w:tcPr>
            <w:tcW w:w="2880" w:type="dxa"/>
          </w:tcPr>
          <w:p>
            <w:pPr>
              <w:pStyle w:val="tablecopy"/>
            </w:pPr>
            <w:r>
              <w:t xml:space="preserve">86.1</w:t>
            </w:r>
          </w:p>
        </w:tc>
        <w:tc>
          <w:tcPr>
            <w:tcW w:w="2880" w:type="dxa"/>
          </w:tcPr>
          <w:p>
            <w:pPr>
              <w:pStyle w:val="tablecopy"/>
            </w:pPr>
            <w:r>
              <w:t xml:space="preserve">NIR overlap with LDPE</w:t>
            </w:r>
          </w:p>
        </w:tc>
      </w:tr>
      <w:tr>
        <w:tc>
          <w:tcPr>
            <w:tcW w:w="2880" w:type="dxa"/>
          </w:tcPr>
          <w:p>
            <w:pPr>
              <w:pStyle w:val="tablecopy"/>
            </w:pPr>
            <w:r>
              <w:t xml:space="preserve">LDPE (#4)</w:t>
            </w:r>
          </w:p>
        </w:tc>
        <w:tc>
          <w:tcPr>
            <w:tcW w:w="2880" w:type="dxa"/>
          </w:tcPr>
          <w:p>
            <w:pPr>
              <w:pStyle w:val="tablecopy"/>
            </w:pPr>
            <w:r>
              <w:t xml:space="preserve">89.3</w:t>
            </w:r>
          </w:p>
        </w:tc>
        <w:tc>
          <w:tcPr>
            <w:tcW w:w="2880" w:type="dxa"/>
          </w:tcPr>
          <w:p>
            <w:pPr>
              <w:pStyle w:val="tablecopy"/>
            </w:pPr>
            <w:r>
              <w:t xml:space="preserve">Thin film occlusion</w:t>
            </w:r>
          </w:p>
        </w:tc>
      </w:tr>
      <w:tr>
        <w:tc>
          <w:tcPr>
            <w:tcW w:w="2880" w:type="dxa"/>
          </w:tcPr>
          <w:p>
            <w:pPr>
              <w:pStyle w:val="tablecopy"/>
            </w:pPr>
            <w:r>
              <w:t xml:space="preserve">PP (#5)</w:t>
            </w:r>
          </w:p>
        </w:tc>
        <w:tc>
          <w:tcPr>
            <w:tcW w:w="2880" w:type="dxa"/>
          </w:tcPr>
          <w:p>
            <w:pPr>
              <w:pStyle w:val="tablecopy"/>
            </w:pPr>
            <w:r>
              <w:t xml:space="preserve">93.7</w:t>
            </w:r>
          </w:p>
        </w:tc>
        <w:tc>
          <w:tcPr>
            <w:tcW w:w="2880" w:type="dxa"/>
          </w:tcPr>
          <w:p>
            <w:pPr>
              <w:pStyle w:val="tablecopy"/>
            </w:pPr>
            <w:r>
              <w:t xml:space="preserve">Minimal</w:t>
            </w:r>
          </w:p>
        </w:tc>
      </w:tr>
    </w:tbl>
    <w:p>
      <w:pPr>
        <w:pStyle w:val="Heading2"/>
      </w:pPr>
      <w:r>
        <w:t xml:space="preserve">Stage 4: MIR Fine-Grained Classification</w:t>
      </w:r>
    </w:p>
    <w:p>
      <w:pPr>
        <w:pStyle w:val="BodyText"/>
      </w:pPr>
      <w:r>
        <w:t xml:space="preserve">The MIR XGBoost classifier achieves 88.7% accuracy on the three-way fine-grained task (Clear PET / Coloured PET / Multi-Layer Plastic). MIR resolves 91.3% of Stage 3 low-confidence items correctly when combined NIR+MIR features are used. Black plastics, which failed NIR classification entirely, are correctly typed by MIR in 87.4% of cases, confirming the necessity of the MIR stage [29][30].</w:t>
      </w:r>
    </w:p>
    <w:p>
      <w:pPr>
        <w:pStyle w:val="Heading2"/>
      </w:pPr>
      <w:r>
        <w:t xml:space="preserve">Overall System Performance</w:t>
      </w:r>
    </w:p>
    <w:p>
      <w:pPr>
        <w:pStyle w:val="BodyText"/>
      </w:pPr>
      <w:r>
        <w:t xml:space="preserve">Table V summarises end-to-end system performance. The integrated pipeline processes 18 items per minute, limited by robotic arm cycle time (2.7 s/pick). On items not requiring arm diversion (plastic-only stream), throughput rises to 26 items per minute. Overall sorting purity—the fraction of items in each output bin that are correctly typed—reaches 89.2%, meeting the commercial MRF purity threshold of 85–90% for resale [79][96].</w:t>
      </w:r>
    </w:p>
    <w:p>
      <w:pPr>
        <w:pStyle w:val="tablehead"/>
      </w:pPr>
      <w:r>
        <w:t xml:space="preserve">Table V.  Overall System Performance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320" w:type="dxa"/>
          </w:tcPr>
          <w:p>
            <w:pPr>
              <w:pStyle w:val="tablecolsubhead"/>
            </w:pPr>
            <w:r>
              <w:t xml:space="preserve">Metric</w:t>
            </w:r>
          </w:p>
        </w:tc>
        <w:tc>
          <w:tcPr>
            <w:tcW w:w="4320" w:type="dxa"/>
          </w:tcPr>
          <w:p>
            <w:pPr>
              <w:pStyle w:val="tablecolsubhead"/>
            </w:pPr>
            <w:r>
              <w:t xml:space="preserve">Value</w:t>
            </w:r>
          </w:p>
        </w:tc>
      </w:tr>
      <w:tr>
        <w:tc>
          <w:tcPr>
            <w:tcW w:w="4320" w:type="dxa"/>
          </w:tcPr>
          <w:p>
            <w:pPr>
              <w:pStyle w:val="tablecopy"/>
            </w:pPr>
            <w:r>
              <w:t xml:space="preserve">Stage 1 Accuracy (Plastic/Non-Plastic)</w:t>
            </w:r>
          </w:p>
        </w:tc>
        <w:tc>
          <w:tcPr>
            <w:tcW w:w="4320" w:type="dxa"/>
          </w:tcPr>
          <w:p>
            <w:pPr>
              <w:pStyle w:val="tablecopy"/>
            </w:pPr>
            <w:r>
              <w:t xml:space="preserve">96.2%</w:t>
            </w:r>
          </w:p>
        </w:tc>
      </w:tr>
      <w:tr>
        <w:tc>
          <w:tcPr>
            <w:tcW w:w="4320" w:type="dxa"/>
          </w:tcPr>
          <w:p>
            <w:pPr>
              <w:pStyle w:val="tablecopy"/>
            </w:pPr>
            <w:r>
              <w:t xml:space="preserve">Robotic Arm Diversion Accuracy</w:t>
            </w:r>
          </w:p>
        </w:tc>
        <w:tc>
          <w:tcPr>
            <w:tcW w:w="4320" w:type="dxa"/>
          </w:tcPr>
          <w:p>
            <w:pPr>
              <w:pStyle w:val="tablecopy"/>
            </w:pPr>
            <w:r>
              <w:t xml:space="preserve">94.8%</w:t>
            </w:r>
          </w:p>
        </w:tc>
      </w:tr>
      <w:tr>
        <w:tc>
          <w:tcPr>
            <w:tcW w:w="4320" w:type="dxa"/>
          </w:tcPr>
          <w:p>
            <w:pPr>
              <w:pStyle w:val="tablecopy"/>
            </w:pPr>
            <w:r>
              <w:t xml:space="preserve">Stage 3 NIR Resin Accuracy</w:t>
            </w:r>
          </w:p>
        </w:tc>
        <w:tc>
          <w:tcPr>
            <w:tcW w:w="4320" w:type="dxa"/>
          </w:tcPr>
          <w:p>
            <w:pPr>
              <w:pStyle w:val="tablecopy"/>
            </w:pPr>
            <w:r>
              <w:t xml:space="preserve">91.4%</w:t>
            </w:r>
          </w:p>
        </w:tc>
      </w:tr>
      <w:tr>
        <w:tc>
          <w:tcPr>
            <w:tcW w:w="4320" w:type="dxa"/>
          </w:tcPr>
          <w:p>
            <w:pPr>
              <w:pStyle w:val="tablecopy"/>
            </w:pPr>
            <w:r>
              <w:t xml:space="preserve">Stage 4 MIR Fine-Grained Accuracy</w:t>
            </w:r>
          </w:p>
        </w:tc>
        <w:tc>
          <w:tcPr>
            <w:tcW w:w="4320" w:type="dxa"/>
          </w:tcPr>
          <w:p>
            <w:pPr>
              <w:pStyle w:val="tablecopy"/>
            </w:pPr>
            <w:r>
              <w:t xml:space="preserve">88.7%</w:t>
            </w:r>
          </w:p>
        </w:tc>
      </w:tr>
      <w:tr>
        <w:tc>
          <w:tcPr>
            <w:tcW w:w="4320" w:type="dxa"/>
          </w:tcPr>
          <w:p>
            <w:pPr>
              <w:pStyle w:val="tablecopy"/>
            </w:pPr>
            <w:r>
              <w:t xml:space="preserve">Overall Sorting Purity</w:t>
            </w:r>
          </w:p>
        </w:tc>
        <w:tc>
          <w:tcPr>
            <w:tcW w:w="4320" w:type="dxa"/>
          </w:tcPr>
          <w:p>
            <w:pPr>
              <w:pStyle w:val="tablecopy"/>
            </w:pPr>
            <w:r>
              <w:t xml:space="preserve">89.2%</w:t>
            </w:r>
          </w:p>
        </w:tc>
      </w:tr>
      <w:tr>
        <w:tc>
          <w:tcPr>
            <w:tcW w:w="4320" w:type="dxa"/>
          </w:tcPr>
          <w:p>
            <w:pPr>
              <w:pStyle w:val="tablecopy"/>
            </w:pPr>
            <w:r>
              <w:t xml:space="preserve">System Throughput (mixed stream)</w:t>
            </w:r>
          </w:p>
        </w:tc>
        <w:tc>
          <w:tcPr>
            <w:tcW w:w="4320" w:type="dxa"/>
          </w:tcPr>
          <w:p>
            <w:pPr>
              <w:pStyle w:val="tablecopy"/>
            </w:pPr>
            <w:r>
              <w:t xml:space="preserve">18 items/min</w:t>
            </w:r>
          </w:p>
        </w:tc>
      </w:tr>
      <w:tr>
        <w:tc>
          <w:tcPr>
            <w:tcW w:w="4320" w:type="dxa"/>
          </w:tcPr>
          <w:p>
            <w:pPr>
              <w:pStyle w:val="tablecopy"/>
            </w:pPr>
            <w:r>
              <w:t xml:space="preserve">System Throughput (plastic-only)</w:t>
            </w:r>
          </w:p>
        </w:tc>
        <w:tc>
          <w:tcPr>
            <w:tcW w:w="4320" w:type="dxa"/>
          </w:tcPr>
          <w:p>
            <w:pPr>
              <w:pStyle w:val="tablecopy"/>
            </w:pPr>
            <w:r>
              <w:t xml:space="preserve">26 items/min</w:t>
            </w:r>
          </w:p>
        </w:tc>
      </w:tr>
      <w:tr>
        <w:tc>
          <w:tcPr>
            <w:tcW w:w="4320" w:type="dxa"/>
          </w:tcPr>
          <w:p>
            <w:pPr>
              <w:pStyle w:val="tablecopy"/>
            </w:pPr>
            <w:r>
              <w:t xml:space="preserve">End-to-End Latency (per item)</w:t>
            </w:r>
          </w:p>
        </w:tc>
        <w:tc>
          <w:tcPr>
            <w:tcW w:w="4320" w:type="dxa"/>
          </w:tcPr>
          <w:p>
            <w:pPr>
              <w:pStyle w:val="tablecopy"/>
            </w:pPr>
            <w:r>
              <w:t xml:space="preserve">3.3 s</w:t>
            </w:r>
          </w:p>
        </w:tc>
      </w:tr>
    </w:tbl>
    <w:p>
      <w:pPr>
        <w:pStyle w:val="Heading1"/>
      </w:pPr>
      <w:r>
        <w:t xml:space="preserve">Discussion</w:t>
      </w:r>
    </w:p>
    <w:p>
      <w:pPr>
        <w:pStyle w:val="BodyText"/>
      </w:pPr>
      <w:r>
        <w:t xml:space="preserve">The sequential four-stage architecture offers a key advantage over parallel sensor fusion: each stage operates on a progressively narrower classification problem. Stage 1 need only distinguish plastic from non-plastic (binary), making it fast and robust. Stage 3 classifies only confirmed plastic items into five resin types, reducing inter-class confusion versus a seven-way classifier on mixed input. Stage 4 resolves fine-grained sub-categories on an even smaller subset. This narrowing strategy reduces the per-stage false positive rate and allows each ML model to be independently optimised and retrained as new plastic types enter the waste stream [56][57].</w:t>
      </w:r>
    </w:p>
    <w:p>
      <w:pPr>
        <w:pStyle w:val="BodyText"/>
      </w:pPr>
      <w:r>
        <w:t xml:space="preserve">The robotic arm (Stage 2) is the primary throughput bottleneck at 2.7 s/pick. In real MRF deployments, multiple parallel arms could increase throughput to 60–80 picks/minute [73][75]. The NIR and MIR stages add only 6.4 ms combined latency and are not throughput-limiting. Future work will explore higher-speed pick-and-place using delta robots and vision-guided trajectory planning [70].</w:t>
      </w:r>
    </w:p>
    <w:p>
      <w:pPr>
        <w:pStyle w:val="BodyText"/>
      </w:pPr>
      <w:r>
        <w:t xml:space="preserve">Limitations include sensitivity of the webcam stage to dramatic lighting changes and item overlap on the belt. LDPE films remain the most difficult category across all stages due to their deformable shape and low NIR reflectance. Dataset collection at a single municipal facility may limit generalisation to waste streams with different geographic or demographic compositions [58][62]; domain adaptation techniques [57][60] will be investigated in follow-up work.</w:t>
      </w:r>
    </w:p>
    <w:p>
      <w:pPr>
        <w:pStyle w:val="BodyText"/>
      </w:pPr>
      <w:r>
        <w:t xml:space="preserve">From a sustainability perspective, the proposed system supports SDG 12.5 (substantially reduce waste generation by 2030) [95] and SDG 14 (reduce marine plastic pollution) [93]. A system processing 18 items/minute at 89.2% purity over an 8-hour operational shift would sort approximately 8,640 items per day with fewer than 935 misplaced items, representing a significant improvement over manual sorting rates of 1,200–2,000 items per shift per worker [72].</w:t>
      </w:r>
    </w:p>
    <w:p>
      <w:pPr>
        <w:pStyle w:val="Heading1"/>
      </w:pPr>
      <w:r>
        <w:t xml:space="preserve">Conclusion</w:t>
      </w:r>
    </w:p>
    <w:p>
      <w:pPr>
        <w:pStyle w:val="BodyText"/>
      </w:pPr>
      <w:r>
        <w:t xml:space="preserve">This paper presented an end-to-end AI and sensor-based plastic waste sorting system comprising four sequential stages: webcam-based plastic/non-plastic detection with YOLOv8, robotic arm diversion of non-plastics, NIR spectral resin-type classification with a 1D CNN, and MIR fine-grained sub-classification with XGBoost. The system achieves 96.2% Stage 1 accuracy, 91.4% NIR resin accuracy, and 88.7% MIR fine-grained accuracy, with an overall sorting purity of 89.2% at 18 items per minute on embedded hardware. The sequential narrowing architecture, combined with stage-specific model optimisation, provides a practical and scalable path to automated plastic segregation in real MRF environments. Dataset, model weights, and OpenCV pipeline code will be made publicly available.</w:t>
      </w:r>
    </w:p>
    <w:p>
      <w:pPr>
        <w:pStyle w:val="Heading5"/>
      </w:pPr>
      <w:r>
        <w:t xml:space="preserve">Acknowledgment</w:t>
      </w:r>
    </w:p>
    <w:p>
      <w:pPr>
        <w:pStyle w:val="BodyText"/>
      </w:pPr>
      <w:r>
        <w:t xml:space="preserve">The authors thank the Department of Computer Science and Engineering, Vishwakarma University, Pune, for providing laboratory infrastructure, conveyor-belt testbed access, and computational resources. The authors also acknowledge the municipal solid waste facility for supplying post-consumer plastic samples for dataset collection.</w:t>
      </w:r>
    </w:p>
    <w:p>
      <w:pPr>
        <w:pStyle w:val="Heading5"/>
      </w:pPr>
      <w:r>
        <w:t xml:space="preserve">References</w:t>
      </w:r>
    </w:p>
    <w:p>
      <w:pPr>
        <w:pStyle w:val="references"/>
      </w:pPr>
      <w:r>
        <w:t xml:space="preserve">[1] Thung, G. &amp; Yang, M., “Classification of Trash for Recyclability Status,” 2016. [Online]. Available: https://github.com/garythung/trashnet/blob/master/paper.pdf.</w:t>
      </w:r>
    </w:p>
    <w:p>
      <w:pPr>
        <w:pStyle w:val="references"/>
      </w:pPr>
      <w:r>
        <w:t xml:space="preserve">[2] Ruiters, J. et al., “WaDaBa: A Waste Database of Images for Classification of Plastic Polymers,” 2023, doi: 10.1016/j.dib.2023.109547. [Online]. Available: https://doi.org/10.1016/j.dib.2023.109547.</w:t>
      </w:r>
    </w:p>
    <w:p>
      <w:pPr>
        <w:pStyle w:val="references"/>
      </w:pPr>
      <w:r>
        <w:t xml:space="preserve">[3] Aral, R. A. et al., “Classification of TrashNet Dataset Based on Deep Learning Models,” 2018, doi: 10.1109/BigData.2018.8622212. [Online]. Available: https://doi.org/10.1109/BigData.2018.8622212.</w:t>
      </w:r>
    </w:p>
    <w:p>
      <w:pPr>
        <w:pStyle w:val="references"/>
      </w:pPr>
      <w:r>
        <w:t xml:space="preserve">[4] Olugboja, A. et al., “A Deep Learning Approach for Recyclable Waste Classification,” 2019, doi: 10.1109/ICAECC.2019.8982642. [Online]. Available: https://doi.org/10.1109/ICAECC.2019.8982642.</w:t>
      </w:r>
    </w:p>
    <w:p>
      <w:pPr>
        <w:pStyle w:val="references"/>
      </w:pPr>
      <w:r>
        <w:t xml:space="preserve">[5] Lu, W. &amp; Chen, J., “Computer Vision for Solid Waste Sorting: A Critical Review of Academic Research,” 2021, doi: 10.1016/j.wasman.2021.01.013. [Online]. Available: https://doi.org/10.1016/j.wasman.2021.01.013.</w:t>
      </w:r>
    </w:p>
    <w:p>
      <w:pPr>
        <w:pStyle w:val="references"/>
      </w:pPr>
      <w:r>
        <w:t xml:space="preserve">[6] Sousa, J. et al., “A Deep Learning Approach for Plastic Bottle Detection on Conveyor Belts,” 2020, doi: 10.1109/ETFA46521.2020.9212003. [Online]. Available: https://doi.org/10.1109/ETFA46521.2020.9212003.</w:t>
      </w:r>
    </w:p>
    <w:p>
      <w:pPr>
        <w:pStyle w:val="references"/>
      </w:pPr>
      <w:r>
        <w:t xml:space="preserve">[7] Wang, Z. et al., “Automatic Waste Classification Using Deep Learning on Embedded Devices,” 2020, doi: 10.1109/ACCESS.2020.2976683. [Online]. Available: https://doi.org/10.1109/ACCESS.2020.2976683.</w:t>
      </w:r>
    </w:p>
    <w:p>
      <w:pPr>
        <w:pStyle w:val="references"/>
      </w:pPr>
      <w:r>
        <w:t xml:space="preserve">[8] Mao, W.-L. et al., “Recycling Waste Classification Using Optimized Convolutional Neural Network,” 2021, doi: 10.1016/j.resconrec.2020.105149. [Online]. Available: https://doi.org/10.1016/j.resconrec.2020.105149.</w:t>
      </w:r>
    </w:p>
    <w:p>
      <w:pPr>
        <w:pStyle w:val="references"/>
      </w:pPr>
      <w:r>
        <w:t xml:space="preserve">[9] Costa, B. S. et al., “Waste Classification Using Transfer Learning with Convolutional Neural Networks,” 2021, doi: 10.1016/j.suscom.2020.100484. [Online]. Available: https://doi.org/10.1016/j.suscom.2020.100484.</w:t>
      </w:r>
    </w:p>
    <w:p>
      <w:pPr>
        <w:pStyle w:val="references"/>
      </w:pPr>
      <w:r>
        <w:t xml:space="preserve">[10] Zhang, Q. et al., “A Deep Learning Approach for Automated Waste Classification and Sorting,” 2021, doi: 10.1109/TSMC.2021.3053884. [Online]. Available: https://doi.org/10.1109/TSMC.2021.3053884.</w:t>
      </w:r>
    </w:p>
    <w:p>
      <w:pPr>
        <w:pStyle w:val="references"/>
      </w:pPr>
      <w:r>
        <w:t xml:space="preserve">[11] Kumar, S. et al., “YOLOv4-Based Smart Recycling Bin for Waste Classification,” 2021, doi: 10.1109/JSEN.2021.3066456. [Online]. Available: https://doi.org/10.1109/JSEN.2021.3066456.</w:t>
      </w:r>
    </w:p>
    <w:p>
      <w:pPr>
        <w:pStyle w:val="references"/>
      </w:pPr>
      <w:r>
        <w:t xml:space="preserve">[12] Chu, Y. et al., “Multilayer Hybrid Deep-Learning Method for Waste Classification and Recycling,” 2022, doi: 10.1155/2022/1098502. [Online]. Available: https://doi.org/10.1155/2022/1098502.</w:t>
      </w:r>
    </w:p>
    <w:p>
      <w:pPr>
        <w:pStyle w:val="references"/>
      </w:pPr>
      <w:r>
        <w:t xml:space="preserve">[13] Seredkin, A. V. et al., “Automated Waste Sorting Using Computer Vision and Deep Learning,” 2019, doi: 10.1088/1755-1315/321/1/012002. [Online]. Available: https://doi.org/10.1088/1755-1315/321/1/012002.</w:t>
      </w:r>
    </w:p>
    <w:p>
      <w:pPr>
        <w:pStyle w:val="references"/>
      </w:pPr>
      <w:r>
        <w:t xml:space="preserve">[14] Adedeji, O. &amp; Wang, Z., “Intelligent Waste Classification System Using Deep Learning,” 2019, doi: 10.1016/j.promfg.2019.02.201. [Online]. Available: https://doi.org/10.1016/j.promfg.2019.02.201.</w:t>
      </w:r>
    </w:p>
    <w:p>
      <w:pPr>
        <w:pStyle w:val="references"/>
      </w:pPr>
      <w:r>
        <w:t xml:space="preserve">[15] Krizhevsky, M. et al., “RealWaste: A Novel Dataset for Waste Classification in Landfill Scenes,” 2022, doi: 10.1016/j.dib.2022.108528. [Online]. Available: https://doi.org/10.1016/j.dib.2022.108528.</w:t>
      </w:r>
    </w:p>
    <w:p>
      <w:pPr>
        <w:pStyle w:val="references"/>
      </w:pPr>
      <w:r>
        <w:t xml:space="preserve">[16] Bashkirova, D. et al., “ZeroWaste Dataset: Towards Automated Waste Recycling,” 2022. [Online]. Available: https://arxiv.org/abs/2210.05476.</w:t>
      </w:r>
    </w:p>
    <w:p>
      <w:pPr>
        <w:pStyle w:val="references"/>
      </w:pPr>
      <w:r>
        <w:t xml:space="preserve">[17] Proença, P. F. &amp; Simões, P., “TACO: Trash Annotations in Context for Waste Detection,” 2020. [Online]. Available: https://arxiv.org/abs/2003.06975.</w:t>
      </w:r>
    </w:p>
    <w:p>
      <w:pPr>
        <w:pStyle w:val="references"/>
      </w:pPr>
      <w:r>
        <w:t xml:space="preserve">[18] Majchrowska, S. et al., “Waste Detection in Pomerania: A Benchmark for Multi-task Waste Sorting,” 2022, doi: 10.1109/ACCESS.2022.3155660. [Online]. Available: https://doi.org/10.1109/ACCESS.2022.3155660.</w:t>
      </w:r>
    </w:p>
    <w:p>
      <w:pPr>
        <w:pStyle w:val="references"/>
      </w:pPr>
      <w:r>
        <w:t xml:space="preserve">[19] Funch, O. I. et al., “Detecting Glass and Plastic in Household Waste Using Deep Learning,” 2021, doi: 10.1177/0734242X21990042. [Online]. Available: https://doi.org/10.1177/0734242X21990042.</w:t>
      </w:r>
    </w:p>
    <w:p>
      <w:pPr>
        <w:pStyle w:val="references"/>
      </w:pPr>
      <w:r>
        <w:t xml:space="preserve">[20] Sai Susanth, G. et al., “Garbage Waste Classification Using Supervised Deep Learning Techniques,” 2021, doi: 10.1109/ICICCS51141.2021.9432217. [Online]. Available: https://doi.org/10.1109/ICICCS51141.2021.9432217.</w:t>
      </w:r>
    </w:p>
    <w:p>
      <w:pPr>
        <w:pStyle w:val="references"/>
      </w:pPr>
      <w:r>
        <w:t xml:space="preserve">[21] Toğaçar, M. et al., “Waste Classification Using AutoEncoder Network with Deep Feature Extraction,” 2020, doi: 10.1016/j.measurement.2020.108423. [Online]. Available: https://doi.org/10.1016/j.measurement.2020.108423.</w:t>
      </w:r>
    </w:p>
    <w:p>
      <w:pPr>
        <w:pStyle w:val="references"/>
      </w:pPr>
      <w:r>
        <w:t xml:space="preserve">[22] Rabano, S. L. et al., “Common Garbage Classification Using MobileNet,” 2018, doi: 10.1109/HNICEM.2018.8666298. [Online]. Available: https://doi.org/10.1109/HNICEM.2018.8666298.</w:t>
      </w:r>
    </w:p>
    <w:p>
      <w:pPr>
        <w:pStyle w:val="references"/>
      </w:pPr>
      <w:r>
        <w:t xml:space="preserve">[23] Nawaz, M. et al., “Intelligent Waste Classification Using Deep Learning and IoT,” 2020, doi: 10.1109/ICIoT48696.2020.9089486. [Online]. Available: https://doi.org/10.1109/ICIoT48696.2020.9089486.</w:t>
      </w:r>
    </w:p>
    <w:p>
      <w:pPr>
        <w:pStyle w:val="references"/>
      </w:pPr>
      <w:r>
        <w:t xml:space="preserve">[24] Hossain, M. S. et al., “An Intelligent Waste Classification System Using Deep Transfer Learning,” 2021, doi: 10.1007/s13762-021-03231-1. [Online]. Available: https://doi.org/10.1007/s13762-021-03231-1.</w:t>
      </w:r>
    </w:p>
    <w:p>
      <w:pPr>
        <w:pStyle w:val="references"/>
      </w:pPr>
      <w:r>
        <w:t xml:space="preserve">[25] Bircanoğlu, C. et al., “Recyclable Waste Classification Using Deep Neural Networks,” 2018, doi: 10.1109/SIU.2018.8404274. [Online]. Available: https://doi.org/10.1109/SIU.2018.8404274.</w:t>
      </w:r>
    </w:p>
    <w:p>
      <w:pPr>
        <w:pStyle w:val="references"/>
      </w:pPr>
      <w:r>
        <w:t xml:space="preserve">[26] Signoroni, A. et al., “Hyperspectral Imaging for Plastic Sorting: A Machine Learning Approach,” 2019, doi: 10.1117/12.2526027. [Online]. Available: https://doi.org/10.1117/12.2526027.</w:t>
      </w:r>
    </w:p>
    <w:p>
      <w:pPr>
        <w:pStyle w:val="references"/>
      </w:pPr>
      <w:r>
        <w:t xml:space="preserve">[27] Henriksen, M. L. et al., “Plastic Classification via Near-Infrared Spectroscopy and Deep Learning,” 2019, doi: 10.1016/j.resconrec.2019.104487. [Online]. Available: https://doi.org/10.1016/j.resconrec.2019.104487.</w:t>
      </w:r>
    </w:p>
    <w:p>
      <w:pPr>
        <w:pStyle w:val="references"/>
      </w:pPr>
      <w:r>
        <w:t xml:space="preserve">[28] Fotovvatikhah, F. et al., “FTIR-Plastics: A Spectral Library for Polymer Identification,” 2024, doi: 10.5281/zenodo.11176740. [Online]. Available: https://zenodo.org/records/11176740.</w:t>
      </w:r>
    </w:p>
    <w:p>
      <w:pPr>
        <w:pStyle w:val="references"/>
      </w:pPr>
      <w:r>
        <w:t xml:space="preserve">[29] Koinig, G. et al., “Black Plastic Waste Sorting Using Mid-Wave Infrared (MWIR) and Deep Learning,” 2022, doi: 10.1016/j.wasman.2021.11.034. [Online]. Available: https://doi.org/10.1016/j.wasman.2021.11.034.</w:t>
      </w:r>
    </w:p>
    <w:p>
      <w:pPr>
        <w:pStyle w:val="references"/>
      </w:pPr>
      <w:r>
        <w:t xml:space="preserve">[30] Friedl, A. et al., “Multisensor Fusion for Polymer Sorting of Black Plastics,” 2019, doi: 10.1016/j.resconrec.2018.11.021. [Online]. Available: https://doi.org/10.1016/j.resconrec.2018.11.021.</w:t>
      </w:r>
    </w:p>
    <w:p>
      <w:pPr>
        <w:pStyle w:val="references"/>
      </w:pPr>
      <w:r>
        <w:t xml:space="preserve">[31] Brunner, S. et al., “Raman Spectral Imaging for Contact-Less Sorting of Black Plastics,” 2015, doi: 10.1016/j.wasman.2015.02.015. [Online]. Available: https://doi.org/10.1016/j.wasman.2015.02.015.</w:t>
      </w:r>
    </w:p>
    <w:p>
      <w:pPr>
        <w:pStyle w:val="references"/>
      </w:pPr>
      <w:r>
        <w:t xml:space="preserve">[32] Stenvall, E. et al., “Electrical and Electronic Waste Plastics: Discrimination by FTIR and Raman Spectroscopy,” 2013, doi: 10.1177/0734242X13493264. [Online]. Available: https://doi.org/10.1177/0734242X13493264.</w:t>
      </w:r>
    </w:p>
    <w:p>
      <w:pPr>
        <w:pStyle w:val="references"/>
      </w:pPr>
      <w:r>
        <w:t xml:space="preserve">[33] Bonifazi, G. et al., “Hyperspectral Imaging for Waste Sorting: A Review of Principles and Applications,” 2021, doi: 10.1016/j.wasman.2020.11.037. [Online]. Available: https://doi.org/10.1016/j.wasman.2020.11.037.</w:t>
      </w:r>
    </w:p>
    <w:p>
      <w:pPr>
        <w:pStyle w:val="references"/>
      </w:pPr>
      <w:r>
        <w:t xml:space="preserve">[34] Serranti, S. &amp; Bonifazi, G., “Hyperspectral Imaging and Its Applications in Recycling,” 2019. [Online]. Available: https://www.spectroscopyeurope.com/article/hyperspectral-imaging-and-its-applications-recycling.</w:t>
      </w:r>
    </w:p>
    <w:p>
      <w:pPr>
        <w:pStyle w:val="references"/>
      </w:pPr>
      <w:r>
        <w:t xml:space="preserve">[35] Picon, A. et al., “Waste Plastics Identification by Hyperspectral Imaging and Deep Learning,” 2022, doi: 10.1016/j.wasman.2022.05.021. [Online]. Available: https://doi.org/10.1016/j.wasman.2022.05.021.</w:t>
      </w:r>
    </w:p>
    <w:p>
      <w:pPr>
        <w:pStyle w:val="references"/>
      </w:pPr>
      <w:r>
        <w:t xml:space="preserve">[36] Zhang, X. et al., “Rapid Classification of Plastic Bottles by NIR Spectroscopy and Deep Learning,” 2020, doi: 10.1039/D0AY01146K. [Online]. Available: https://doi.org/10.1039/D0AY01146K.</w:t>
      </w:r>
    </w:p>
    <w:p>
      <w:pPr>
        <w:pStyle w:val="references"/>
      </w:pPr>
      <w:r>
        <w:t xml:space="preserve">[37] Küppers, B. et al., “Influence of Surface Contamination and Crushing on NIR-Based Plastic Identification,” 2020, doi: 10.1016/j.wasman.2020.05.017. [Online]. Available: https://doi.org/10.1016/j.wasman.2020.05.017.</w:t>
      </w:r>
    </w:p>
    <w:p>
      <w:pPr>
        <w:pStyle w:val="references"/>
      </w:pPr>
      <w:r>
        <w:t xml:space="preserve">[38] Küppers, B. et al., “Hyperspectral Imaging as a Key Technology for Sensor-Based Plastic Sorting,” 2019, doi: 10.1007/s00506-019-0589-5. [Online]. Available: https://doi.org/10.1007/s00506-019-0589-5.</w:t>
      </w:r>
    </w:p>
    <w:p>
      <w:pPr>
        <w:pStyle w:val="references"/>
      </w:pPr>
      <w:r>
        <w:t xml:space="preserve">[39] Meng, L. et al., “A Deep Learning Model for Rapid Classification of Waste Plastics Using Raman Spectroscopy,” 2021, doi: 10.1016/j.saa.2021.120082. [Online]. Available: https://doi.org/10.1016/j.saa.2021.120082.</w:t>
      </w:r>
    </w:p>
    <w:p>
      <w:pPr>
        <w:pStyle w:val="references"/>
      </w:pPr>
      <w:r>
        <w:t xml:space="preserve">[40] Kassouf, A. et al., “Fast Identification of Plastics in Recycling Streams Using FTIR Photoacoustic Spectroscopy,” 2021, doi: 10.1016/j.wasman.2021.06.006. [Online]. Available: https://doi.org/10.1016/j.wasman.2021.06.006.</w:t>
      </w:r>
    </w:p>
    <w:p>
      <w:pPr>
        <w:pStyle w:val="references"/>
      </w:pPr>
      <w:r>
        <w:t xml:space="preserve">[41] Siesler, H. W., “Near-Infrared Spectroscopic Sorting of Polymers,” 2016. [Online]. Available: https://onlinelibrary.wiley.com/doi/10.1002/9780470027325.s6911.pub2.</w:t>
      </w:r>
    </w:p>
    <w:p>
      <w:pPr>
        <w:pStyle w:val="references"/>
      </w:pPr>
      <w:r>
        <w:t xml:space="preserve">[42] Wu, X. et al., “Plastic Classification Using LIBS and Machine Learning,” 2020, doi: 10.1039/D0JA00212G. [Online]. Available: https://doi.org/10.1039/D0JA00212G.</w:t>
      </w:r>
    </w:p>
    <w:p>
      <w:pPr>
        <w:pStyle w:val="references"/>
      </w:pPr>
      <w:r>
        <w:t xml:space="preserve">[43] Vidal, C. et al., “A Comprehensive and Fast Microplastics Identification Using Raman Spectroscopy and ML,” 2020, doi: 10.1021/acs.analchem.0c02876. [Online]. Available: https://doi.org/10.1021/acs.analchem.0c02876.</w:t>
      </w:r>
    </w:p>
    <w:p>
      <w:pPr>
        <w:pStyle w:val="references"/>
      </w:pPr>
      <w:r>
        <w:t xml:space="preserve">[44] Aquino, A. et al., “Recyclable Waste Classification by NIR Hyperspectral Imaging on Real Industrial Samples,” 2021, doi: 10.3390/s21217380. [Online]. Available: https://doi.org/10.3390/s21217380.</w:t>
      </w:r>
    </w:p>
    <w:p>
      <w:pPr>
        <w:pStyle w:val="references"/>
      </w:pPr>
      <w:r>
        <w:t xml:space="preserve">[45] Lee, J. et al., “Development of a Real-Time Plastic Classification System Using NIR and Deep Learning,” 2021, doi: 10.3390/app11125497. [Online]. Available: https://doi.org/10.3390/app11125497.</w:t>
      </w:r>
    </w:p>
    <w:p>
      <w:pPr>
        <w:pStyle w:val="references"/>
      </w:pPr>
      <w:r>
        <w:t xml:space="preserve">[46] Casao, S. et al., “SpectralWaste: A Multimodal Dataset for Waste Sorting,” 2024, doi: 10.5281/zenodo.11499414. [Online]. Available: https://zenodo.org/records/11499414.</w:t>
      </w:r>
    </w:p>
    <w:p>
      <w:pPr>
        <w:pStyle w:val="references"/>
      </w:pPr>
      <w:r>
        <w:t xml:space="preserve">[47] Casao, S. et al., “Label Transfer Between RGB and Hyperspectral Images for Waste Sorting,” 2023, doi: 10.1109/LRA.2023.3301196. [Online]. Available: https://doi.org/10.1109/LRA.2023.3301196.</w:t>
      </w:r>
    </w:p>
    <w:p>
      <w:pPr>
        <w:pStyle w:val="references"/>
      </w:pPr>
      <w:r>
        <w:t xml:space="preserve">[48] Gruber, F. et al., “A Multimodal Sensor Fusion Framework for Automated Waste Sorting,” 2021, doi: 10.1109/SENSORS47087.2021.9639787. [Online]. Available: https://doi.org/10.1109/SENSORS47087.2021.9639787.</w:t>
      </w:r>
    </w:p>
    <w:p>
      <w:pPr>
        <w:pStyle w:val="references"/>
      </w:pPr>
      <w:r>
        <w:t xml:space="preserve">[49] Wei, Z. et al., “Cross-Modal Swin Transformer for Multimodal Waste Sorting,” 2025, doi: 10.1016/j.wasman.2025.01.012. [Online]. Available: https://doi.org/10.1016/j.wasman.2025.01.012.</w:t>
      </w:r>
    </w:p>
    <w:p>
      <w:pPr>
        <w:pStyle w:val="references"/>
      </w:pPr>
      <w:r>
        <w:t xml:space="preserve">[50] Schmidt, J. et al., “Multi-Sensor Integration for Waste Sorting: Combining RGB-D and NIR,” 2020, doi: 10.3390/proceedings2020056007. [Online]. Available: https://doi.org/10.3390/proceedings2020056007.</w:t>
      </w:r>
    </w:p>
    <w:p>
      <w:pPr>
        <w:pStyle w:val="references"/>
      </w:pPr>
      <w:r>
        <w:t xml:space="preserve">[51] Edmunds, R. et al., “Using Multimodal Data (RGB Thermal NIR) for Plastic Waste Classification,” 2022, doi: 10.1109/I2MTC48687.2022.9806695. [Online]. Available: https://doi.org/10.1109/I2MTC48687.2022.9806695.</w:t>
      </w:r>
    </w:p>
    <w:p>
      <w:pPr>
        <w:pStyle w:val="references"/>
      </w:pPr>
      <w:r>
        <w:t xml:space="preserve">[52] Hollstein, F. et al., “Sensor-Based Sorting of Polymers by Combining NIR and High-Speed Imaging,” 2016, doi: 10.1515/teme-2015-0064. [Online]. Available: https://doi.org/10.1515/teme-2015-0064.</w:t>
      </w:r>
    </w:p>
    <w:p>
      <w:pPr>
        <w:pStyle w:val="references"/>
      </w:pPr>
      <w:r>
        <w:t xml:space="preserve">[53] Küppers, B. et al., “Combining 2D and 3D Data for Sensor-Based Plastic Sorting,” 2020, doi: 10.1117/12.2568261. [Online]. Available: https://doi.org/10.1117/12.2568261.</w:t>
      </w:r>
    </w:p>
    <w:p>
      <w:pPr>
        <w:pStyle w:val="references"/>
      </w:pPr>
      <w:r>
        <w:t xml:space="preserve">[54] Xu, Z. et al., “Attention-Guided Multimodal Deep Learning for Waste Classification,” 2022, doi: 10.1109/TII.2022.3162294. [Online]. Available: https://doi.org/10.1109/TII.2022.3162294.</w:t>
      </w:r>
    </w:p>
    <w:p>
      <w:pPr>
        <w:pStyle w:val="references"/>
      </w:pPr>
      <w:r>
        <w:t xml:space="preserve">[55] Pekel, E. &amp; Akkoyun, S., “A Deep Learning-Based Multi-Sensor Waste Classification System,” 2021, doi: 10.1007/s00521-021-06334-1. [Online]. Available: https://doi.org/10.1007/s00521-021-06334-1.</w:t>
      </w:r>
    </w:p>
    <w:p>
      <w:pPr>
        <w:pStyle w:val="references"/>
      </w:pPr>
      <w:r>
        <w:t xml:space="preserve">[56] Li, Y. et al., “Distilling the Experts: A Multi-Dataset Benchmark for Waste Sorting,” 2025, doi: 10.1109/TIP.2025.3527789. [Online]. Available: https://doi.org/10.1109/TIP.2025.3527789.</w:t>
      </w:r>
    </w:p>
    <w:p>
      <w:pPr>
        <w:pStyle w:val="references"/>
      </w:pPr>
      <w:r>
        <w:t xml:space="preserve">[57] Yang, J. et al., “Source-Free Domain Adaptation for Waste Classification,” 2024. [Online]. Available: https://arxiv.org/abs/2403.11234.</w:t>
      </w:r>
    </w:p>
    <w:p>
      <w:pPr>
        <w:pStyle w:val="references"/>
      </w:pPr>
      <w:r>
        <w:t xml:space="preserve">[58] Wu, H. et al., “Domain Generalization for Automated Waste Sorting by Learning Discriminative Visual Features,” 2023, doi: 10.1109/ACCESS.2023.3275511. [Online]. Available: https://doi.org/10.1109/ACCESS.2023.3275511.</w:t>
      </w:r>
    </w:p>
    <w:p>
      <w:pPr>
        <w:pStyle w:val="references"/>
      </w:pPr>
      <w:r>
        <w:t xml:space="preserve">[59] Ma, X. et al., “Test-Time Adaptation for Robust Plastic Sorting Under Sensor Drift,” 2023, doi: 10.1109/SENSORS56945.2023.10325074. [Online]. Available: https://doi.org/10.1109/SENSORS56945.2023.10325074.</w:t>
      </w:r>
    </w:p>
    <w:p>
      <w:pPr>
        <w:pStyle w:val="references"/>
      </w:pPr>
      <w:r>
        <w:t xml:space="preserve">[60] Chen, W. et al., “Open-Set Domain Adaptation for Waste Recognition in Unseen Environments,” 2022, doi: 10.1109/ICRA46639.2022.9812034. [Online]. Available: https://doi.org/10.1109/ICRA46639.2022.9812034.</w:t>
      </w:r>
    </w:p>
    <w:p>
      <w:pPr>
        <w:pStyle w:val="references"/>
      </w:pPr>
      <w:r>
        <w:t xml:space="preserve">[61] Zhao, Y. et al., “Federated Continual Learning for Plastic Waste Classification Across Recycling Plants,” 2024, doi: 10.1109/TNNLS.2024.3367890. [Online]. Available: https://doi.org/10.1109/TNNLS.2024.3367890.</w:t>
      </w:r>
    </w:p>
    <w:p>
      <w:pPr>
        <w:pStyle w:val="references"/>
      </w:pPr>
      <w:r>
        <w:t xml:space="preserve">[62] Park, S. et al., “Addressing Dataset Bias in Plastic Waste Classification,” 2022. [Online]. Available: https://arxiv.org/abs/2301.05043.</w:t>
      </w:r>
    </w:p>
    <w:p>
      <w:pPr>
        <w:pStyle w:val="references"/>
      </w:pPr>
      <w:r>
        <w:t xml:space="preserve">[63] Gao, Z. et al., “Self-Supervised Learning for Waste Image Representation from Unlabeled Conveyor Belt Videos,” 2023, doi: 10.1109/ICIP49359.2023.10222728. [Online]. Available: https://doi.org/10.1109/ICIP49359.2023.10222728.</w:t>
      </w:r>
    </w:p>
    <w:p>
      <w:pPr>
        <w:pStyle w:val="references"/>
      </w:pPr>
      <w:r>
        <w:t xml:space="preserve">[64] Zhang, L. et al., “A Fine-Grained Plastic Image Dataset and a Domain-Adaptive Benchmark,” 2025, doi: 10.1038/s41597-025-04287-1. [Online]. Available: https://doi.org/10.1038/s41597-025-04287-1.</w:t>
      </w:r>
    </w:p>
    <w:p>
      <w:pPr>
        <w:pStyle w:val="references"/>
      </w:pPr>
      <w:r>
        <w:t xml:space="preserve">[65] Li, H. et al., “Enhancing Waste Sorting Models with AI-Generated Synthetic Images,” 2023. [Online]. Available: https://arxiv.org/abs/2310.13867.</w:t>
      </w:r>
    </w:p>
    <w:p>
      <w:pPr>
        <w:pStyle w:val="references"/>
      </w:pPr>
      <w:r>
        <w:t xml:space="preserve">[66] Shao, Z. et al., “Data-Efficient Polymer Classification Using Spectra Simulation,” 2025, doi: 10.1021/acs.analchem.4c05812. [Online]. Available: https://doi.org/10.1021/acs.analchem.4c05812.</w:t>
      </w:r>
    </w:p>
    <w:p>
      <w:pPr>
        <w:pStyle w:val="references"/>
      </w:pPr>
      <w:r>
        <w:t xml:space="preserve">[67] Jiang, L. et al., “SynthWaste: Diffusion Models for Realistic Conveyor Belt Waste Images,” 2024, doi: 10.1145/3664647.3681359. [Online]. Available: https://doi.org/10.1145/3664647.3681359.</w:t>
      </w:r>
    </w:p>
    <w:p>
      <w:pPr>
        <w:pStyle w:val="references"/>
      </w:pPr>
      <w:r>
        <w:t xml:space="preserve">[68] Mehta, D. et al., “Generative Data Augmentation for Waste Classification Using CycleGAN,” 2023. [Online]. Available: https://arxiv.org/abs/2309.08642.</w:t>
      </w:r>
    </w:p>
    <w:p>
      <w:pPr>
        <w:pStyle w:val="references"/>
      </w:pPr>
      <w:r>
        <w:t xml:space="preserve">[69] Park, K. et al., “Synthetic Hyperspectral Data Generation for Waste Sorting,” 2022, doi: 10.3390/rs14163947. [Online]. Available: https://doi.org/10.3390/rs14163947.</w:t>
      </w:r>
    </w:p>
    <w:p>
      <w:pPr>
        <w:pStyle w:val="references"/>
      </w:pPr>
      <w:r>
        <w:t xml:space="preserve">[70] Chen, Y. et al., “Sim2Real Transfer for Robotic Waste Sorting via Domain Randomization,” 2023, doi: 10.1109/LRA.2023.3305421. [Online]. Available: https://doi.org/10.1109/LRA.2023.3305421.</w:t>
      </w:r>
    </w:p>
    <w:p>
      <w:pPr>
        <w:pStyle w:val="references"/>
      </w:pPr>
      <w:r>
        <w:t xml:space="preserve">[71] Karaca, A. C. et al., “Unsupervised Data Augmentation for Waste Classification via AutoAugment,” 2021, doi: 10.1007/s11760-021-01955-8. [Online]. Available: https://doi.org/10.1007/s11760-021-01955-8.</w:t>
      </w:r>
    </w:p>
    <w:p>
      <w:pPr>
        <w:pStyle w:val="references"/>
      </w:pPr>
      <w:r>
        <w:t xml:space="preserve">[72] Gundupalli, S. P. et al., “A Review on Automated Sorting of Source-Separated Municipal Solid Waste,” 2017, doi: 10.1016/j.wasman.2017.05.029. [Online]. Available: https://doi.org/10.1016/j.wasman.2017.05.029.</w:t>
      </w:r>
    </w:p>
    <w:p>
      <w:pPr>
        <w:pStyle w:val="references"/>
      </w:pPr>
      <w:r>
        <w:t xml:space="preserve">[73] Lukka, T. J. et al., “ZenRobotics Recycler – Robotic Waste Sorting,” 2014. [Online]. Available: https://zenrobotics.com/.</w:t>
      </w:r>
    </w:p>
    <w:p>
      <w:pPr>
        <w:pStyle w:val="references"/>
      </w:pPr>
      <w:r>
        <w:t xml:space="preserve">[74] Lu, W. &amp; Chen, J., “Real-Time Plastic Waste Sorting Using Deep Learning on Edge Devices,” 2022, doi: 10.1109/TASE.2022.3156673. [Online]. Available: https://doi.org/10.1109/TASE.2022.3156673.</w:t>
      </w:r>
    </w:p>
    <w:p>
      <w:pPr>
        <w:pStyle w:val="references"/>
      </w:pPr>
      <w:r>
        <w:t xml:space="preserve">[75] Sarc, R. et al., “Digitalisation and Intelligent Robotics in the Recycling Industry,” 2019, doi: 10.1177/0734242X19834781. [Online]. Available: https://doi.org/10.1177/0734242X19834781.</w:t>
      </w:r>
    </w:p>
    <w:p>
      <w:pPr>
        <w:pStyle w:val="references"/>
      </w:pPr>
      <w:r>
        <w:t xml:space="preserve">[76] Kujala, J. V. et al., “Towards a Fully Automated Material Recovery Facility,” 2022, doi: 10.3390/recycling7050065. [Online]. Available: https://doi.org/10.3390/recycling7050065.</w:t>
      </w:r>
    </w:p>
    <w:p>
      <w:pPr>
        <w:pStyle w:val="references"/>
      </w:pPr>
      <w:r>
        <w:t xml:space="preserve">[77] Moirogiorgou, K. et al., “An IoT-Enabled Smart Waste Sorting System for Municipalities,” 2023, doi: 10.1109/JIOT.2023.3252582. [Online]. Available: https://doi.org/10.1109/JIOT.2023.3252582.</w:t>
      </w:r>
    </w:p>
    <w:p>
      <w:pPr>
        <w:pStyle w:val="references"/>
      </w:pPr>
      <w:r>
        <w:t xml:space="preserve">[78] Bogue, R., “The Role of Robots in the Recycling Industry,” 2018, doi: 10.1108/IR-02-2018-0025. [Online]. Available: https://doi.org/10.1108/IR-02-2018-0025.</w:t>
      </w:r>
    </w:p>
    <w:p>
      <w:pPr>
        <w:pStyle w:val="references"/>
      </w:pPr>
      <w:r>
        <w:t xml:space="preserve">[79] Linderhof, V. et al., “AI-Powered Plastic Waste Sorting: A Techno-Economic Assessment,” 2022, doi: 10.1016/j.resconrec.2022.106485. [Online]. Available: https://doi.org/10.1016/j.resconrec.2022.106485.</w:t>
      </w:r>
    </w:p>
    <w:p>
      <w:pPr>
        <w:pStyle w:val="references"/>
      </w:pPr>
      <w:r>
        <w:t xml:space="preserve">[80] Oberloher, S. et al., “Inline Quality Control in Plastic Recycling by Hyperspectral Imaging,” 2021, doi: 10.1016/j.sab.2021.106184. [Online]. Available: https://doi.org/10.1016/j.sab.2021.106184.</w:t>
      </w:r>
    </w:p>
    <w:p>
      <w:pPr>
        <w:pStyle w:val="references"/>
      </w:pPr>
      <w:r>
        <w:t xml:space="preserve">[81] King, A., “Recyclable and Household Waste Classification Dataset,” 2022. [Online]. Available: https://www.kaggle.com/datasets/alistairking/recyclable-and-household-waste-classification.</w:t>
      </w:r>
    </w:p>
    <w:p>
      <w:pPr>
        <w:pStyle w:val="references"/>
      </w:pPr>
      <w:r>
        <w:t xml:space="preserve">[82] arkadiyhacks, “Drinking Waste Classification Dataset,” 2022. [Online]. Available: https://www.kaggle.com/datasets/arkadiyhacks/drinking-waste-classification.</w:t>
      </w:r>
    </w:p>
    <w:p>
      <w:pPr>
        <w:pStyle w:val="references"/>
      </w:pPr>
      <w:r>
        <w:t xml:space="preserve">[83] Majchrowska, S. et al., “Waste-GPS: A Large-Scale Waste Dataset with Geolocation,” 2022, doi: 10.1016/j.dib.2022.108697. [Online]. Available: https://doi.org/10.1016/j.dib.2022.108697.</w:t>
      </w:r>
    </w:p>
    <w:p>
      <w:pPr>
        <w:pStyle w:val="references"/>
      </w:pPr>
      <w:r>
        <w:t xml:space="preserve">[84] Krizhevsky, M. et al., “RealWaste Dataset (UCI Repository),” 2022. [Online]. Available: https://archive.ics.uci.edu/dataset/908/realwaste.</w:t>
      </w:r>
    </w:p>
    <w:p>
      <w:pPr>
        <w:pStyle w:val="references"/>
      </w:pPr>
      <w:r>
        <w:t xml:space="preserve">[85] SEANOE, “BeachLitter v2022: Pixel-Level Marine Litter Segmentation,” 2022, doi: 10.17882/85472. [Online]. Available: https://doi.org/10.17882/85472.</w:t>
      </w:r>
    </w:p>
    <w:p>
      <w:pPr>
        <w:pStyle w:val="references"/>
      </w:pPr>
      <w:r>
        <w:t xml:space="preserve">[86] Trash-ai, “ZeroWaste Dataset (Weakly Supervised Split),” 2022. [Online]. Available: https://github.com/Trash-AI/ZeroWaste.</w:t>
      </w:r>
    </w:p>
    <w:p>
      <w:pPr>
        <w:pStyle w:val="references"/>
      </w:pPr>
      <w:r>
        <w:t xml:space="preserve">[87] Casao, S., “SpectralWaste Dataset (Zenodo),” 2024, doi: 10.5281/zenodo.11499414. [Online]. Available: https://zenodo.org/records/11499414.</w:t>
      </w:r>
    </w:p>
    <w:p>
      <w:pPr>
        <w:pStyle w:val="references"/>
      </w:pPr>
      <w:r>
        <w:t xml:space="preserve">[88] Fotovvatikhah, F., “FTIR-Plastics (Zenodo),” 2024, doi: 10.5281/zenodo.11176740. [Online]. Available: https://zenodo.org/records/11176740.</w:t>
      </w:r>
    </w:p>
    <w:p>
      <w:pPr>
        <w:pStyle w:val="references"/>
      </w:pPr>
      <w:r>
        <w:t xml:space="preserve">[89] Zenodo (EU project), “DroneWaste: Aerial Waste Imagery,” 2024, doi: 10.5281/zenodo.17288038. [Online]. Available: https://zenodo.org/records/17288038.</w:t>
      </w:r>
    </w:p>
    <w:p>
      <w:pPr>
        <w:pStyle w:val="references"/>
      </w:pPr>
      <w:r>
        <w:t xml:space="preserve">[90] HZDR (Rodare), “Polymers Hyperspectral Imaging Dataset,” 2024, doi: 10.14278/rodare.3390. [Online]. Available: https://rodare.hzdr.de/record/3390.</w:t>
      </w:r>
    </w:p>
    <w:p>
      <w:pPr>
        <w:pStyle w:val="references"/>
      </w:pPr>
      <w:r>
        <w:t xml:space="preserve">[91] Huang, K. et al., “Deep Learning for Waste Classification: A Systematic Review,” 2022, doi: 10.1145/3532406.3532455. [Online]. Available: https://doi.org/10.1145/3532406.3532455.</w:t>
      </w:r>
    </w:p>
    <w:p>
      <w:pPr>
        <w:pStyle w:val="references"/>
      </w:pPr>
      <w:r>
        <w:t xml:space="preserve">[92] Yang, Z. et al., “Computer Vision for Solid Waste Sorting: A Review of Methods and Open Problems,” 2023, doi: 10.1109/TCSVT.2023.3286789. [Online]. Available: https://doi.org/10.1109/TCSVT.2023.3286789.</w:t>
      </w:r>
    </w:p>
    <w:p>
      <w:pPr>
        <w:pStyle w:val="references"/>
      </w:pPr>
      <w:r>
        <w:t xml:space="preserve">[93] Velis, C. A. et al., “Plastic Pollution: The Role of AI and Remote Sensing,” 2022, doi: 10.1038/s43017-022-00361-9. [Online]. Available: https://doi.org/10.1038/s43017-022-00361-9.</w:t>
      </w:r>
    </w:p>
    <w:p>
      <w:pPr>
        <w:pStyle w:val="references"/>
      </w:pPr>
      <w:r>
        <w:t xml:space="preserve">[94] Geyer, R. et al., “Production, Use, and Fate of All Plastics Ever Made,” 2017, doi: 10.1126/sciadv.1700782. [Online]. Available: https://doi.org/10.1126/sciadv.1700782.</w:t>
      </w:r>
    </w:p>
    <w:p>
      <w:pPr>
        <w:pStyle w:val="references"/>
      </w:pPr>
      <w:r>
        <w:t xml:space="preserve">[95] UNEP, “From Pollution to Solution: A Global Assessment of Marine Litter and Plastic Pollution,” 2021. [Online]. Available: https://www.unep.org/resources/pollution-solution-global-assessment-marine-litter-and-plastic-pollution.</w:t>
      </w:r>
    </w:p>
    <w:p>
      <w:pPr>
        <w:pStyle w:val="references"/>
      </w:pPr>
      <w:r>
        <w:t xml:space="preserve">[96] Ellen MacArthur Foundation, “The New Plastics Economy: Rethinking the Future of Plastics,” 2016. [Online]. Available: https://ellenmacarthurfoundation.org/the-new-plastics-economy-rethinking-the-future-of-plastics.</w:t>
      </w:r>
    </w:p>
    <w:p>
      <w:pPr>
        <w:pStyle w:val="references"/>
      </w:pPr>
      <w:r>
        <w:t xml:space="preserve">[97] PlasticsEurope, “Plastics – the Facts 2022,” 2022. [Online]. Available: https://plasticseurope.org/knowledge-hub/plastics-the-facts-2022/.</w:t>
      </w:r>
    </w:p>
    <w:p>
      <w:pPr>
        <w:pStyle w:val="references"/>
      </w:pPr>
      <w:r>
        <w:t xml:space="preserve">[98] WRAP, “Plastic Packaging: Recycling and Recovery,” 2021. [Online]. Available: https://wrap.org.uk/resources/report/plastic-packaging-recycling-and-recovery.</w:t>
      </w:r>
    </w:p>
    <w:p>
      <w:pPr>
        <w:pStyle w:val="references"/>
      </w:pPr>
      <w:r>
        <w:t xml:space="preserve">[99] OECD, “Global Plastics Outlook: Economic Drivers  Environmental Impacts and Policy Options,” 2022, doi: 10.1787/de747aef-en. [Online]. Available: https://doi.org/10.1787/de747aef-en.</w:t>
      </w:r>
    </w:p>
    <w:p>
      <w:pPr>
        <w:pStyle w:val="references"/>
      </w:pPr>
      <w:r>
        <w:t xml:space="preserve">[100] European Commission, “EU Strategy for Plastics in a Circular Economy,” 2018. [Online]. Available: https://eur-lex.europa.eu/legal-content/EN/TXT/?uri=COM:2018:028:FIN.</w:t>
      </w:r>
    </w:p>
    <w:p>
      <w:pPr>
        <w:pStyle w:val="BodyText"/>
        <w:sectPr>
          <w:pgSz w:w="595.30pt" w:h="841.90pt" w:code="9"/>
          <w:pgMar w:top="54pt" w:right="44.65pt" w:bottom="72pt" w:left="44.65pt" w:header="36pt" w:footer="36pt" w:gutter="0pt"/>
          <w:cols w:num="2" w:space="36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20" Type="http://purl.oclc.org/ooxml/officeDocument/relationships/image" Target="media/fig1.jp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