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93" w:after="0"/>
        <w:ind w:start="183"/>
        <w:rPr/>
      </w:pPr>
      <w:r>
        <w:rPr/>
        <w:t>Following</w:t>
      </w:r>
      <w:r>
        <w:rPr>
          <w:spacing w:val="-4"/>
        </w:rPr>
        <w:t xml:space="preserve"> </w:t>
      </w:r>
      <w:r>
        <w:rPr/>
        <w:t>information</w:t>
      </w:r>
      <w:r>
        <w:rPr>
          <w:spacing w:val="-2"/>
        </w:rPr>
        <w:t xml:space="preserve"> </w:t>
      </w:r>
      <w:r>
        <w:rPr/>
        <w:t>is</w:t>
      </w:r>
      <w:r>
        <w:rPr>
          <w:spacing w:val="-4"/>
        </w:rPr>
        <w:t xml:space="preserve"> </w:t>
      </w:r>
      <w:r>
        <w:rPr/>
        <w:t>required</w:t>
      </w:r>
      <w:r>
        <w:rPr>
          <w:spacing w:val="-1"/>
        </w:rPr>
        <w:t xml:space="preserve"> </w:t>
      </w:r>
      <w:r>
        <w:rPr/>
        <w:t>for</w:t>
      </w:r>
      <w:r>
        <w:rPr>
          <w:spacing w:val="-3"/>
        </w:rPr>
        <w:t xml:space="preserve"> </w:t>
      </w:r>
      <w:r>
        <w:rPr/>
        <w:t>drafting</w:t>
      </w:r>
      <w:r>
        <w:rPr>
          <w:spacing w:val="-4"/>
        </w:rPr>
        <w:t xml:space="preserve"> </w:t>
      </w:r>
      <w:r>
        <w:rPr/>
        <w:t>of</w:t>
      </w:r>
      <w:r>
        <w:rPr>
          <w:spacing w:val="-5"/>
        </w:rPr>
        <w:t xml:space="preserve"> </w:t>
      </w:r>
      <w:r>
        <w:rPr/>
        <w:t>patent</w:t>
      </w:r>
      <w:r>
        <w:rPr>
          <w:spacing w:val="-3"/>
        </w:rPr>
        <w:t xml:space="preserve"> </w:t>
      </w:r>
      <w:r>
        <w:rPr/>
        <w:t>application.</w:t>
      </w:r>
    </w:p>
    <w:p>
      <w:pPr>
        <w:pStyle w:val="BodyText"/>
        <w:spacing w:before="3" w:after="0"/>
        <w:rPr>
          <w:rFonts w:ascii="Arial" w:hAnsi="Arial"/>
          <w:b/>
        </w:rPr>
      </w:pPr>
      <w:r>
        <w:rPr>
          <w:rFonts w:ascii="Arial" w:hAnsi="Arial"/>
          <w:b/>
        </w:rPr>
      </w:r>
    </w:p>
    <w:p>
      <w:pPr>
        <w:pStyle w:val="ListParagraph"/>
        <w:numPr>
          <w:ilvl w:val="0"/>
          <w:numId w:val="1"/>
        </w:numPr>
        <w:ind w:hanging="0" w:start="0"/>
        <w:jc w:val="both"/>
        <w:rPr>
          <w:b/>
          <w:sz w:val="24"/>
          <w:szCs w:val="24"/>
        </w:rPr>
      </w:pPr>
      <w:r>
        <w:rPr>
          <w:b/>
          <w:sz w:val="24"/>
          <w:szCs w:val="24"/>
        </w:rPr>
        <w:t>Full</w:t>
      </w:r>
      <w:r>
        <w:rPr>
          <w:b/>
          <w:spacing w:val="-3"/>
          <w:sz w:val="24"/>
          <w:szCs w:val="24"/>
        </w:rPr>
        <w:t xml:space="preserve"> </w:t>
      </w:r>
      <w:r>
        <w:rPr>
          <w:b/>
          <w:sz w:val="24"/>
          <w:szCs w:val="24"/>
        </w:rPr>
        <w:t>name,</w:t>
      </w:r>
      <w:r>
        <w:rPr>
          <w:b/>
          <w:spacing w:val="-3"/>
          <w:sz w:val="24"/>
          <w:szCs w:val="24"/>
        </w:rPr>
        <w:t xml:space="preserve"> </w:t>
      </w:r>
      <w:r>
        <w:rPr>
          <w:b/>
          <w:sz w:val="24"/>
          <w:szCs w:val="24"/>
        </w:rPr>
        <w:t>nationality</w:t>
      </w:r>
      <w:r>
        <w:rPr>
          <w:b/>
          <w:spacing w:val="-3"/>
          <w:sz w:val="24"/>
          <w:szCs w:val="24"/>
        </w:rPr>
        <w:t xml:space="preserve"> </w:t>
      </w:r>
      <w:r>
        <w:rPr>
          <w:b/>
          <w:sz w:val="24"/>
          <w:szCs w:val="24"/>
        </w:rPr>
        <w:t>and</w:t>
      </w:r>
      <w:r>
        <w:rPr>
          <w:b/>
          <w:spacing w:val="-6"/>
          <w:sz w:val="24"/>
          <w:szCs w:val="24"/>
        </w:rPr>
        <w:t xml:space="preserve"> </w:t>
      </w:r>
      <w:r>
        <w:rPr>
          <w:b/>
          <w:sz w:val="24"/>
          <w:szCs w:val="24"/>
        </w:rPr>
        <w:t>address</w:t>
      </w:r>
      <w:r>
        <w:rPr>
          <w:b/>
          <w:spacing w:val="-3"/>
          <w:sz w:val="24"/>
          <w:szCs w:val="24"/>
        </w:rPr>
        <w:t xml:space="preserve"> </w:t>
      </w:r>
      <w:r>
        <w:rPr>
          <w:b/>
          <w:sz w:val="24"/>
          <w:szCs w:val="24"/>
        </w:rPr>
        <w:t>of</w:t>
      </w:r>
      <w:r>
        <w:rPr>
          <w:b/>
          <w:spacing w:val="-4"/>
          <w:sz w:val="24"/>
          <w:szCs w:val="24"/>
        </w:rPr>
        <w:t xml:space="preserve"> </w:t>
      </w:r>
      <w:r>
        <w:rPr>
          <w:b/>
          <w:sz w:val="24"/>
          <w:szCs w:val="24"/>
        </w:rPr>
        <w:t>applicant(s):</w:t>
      </w:r>
    </w:p>
    <w:p>
      <w:pPr>
        <w:pStyle w:val="ListParagraph"/>
        <w:ind w:hanging="0" w:start="0"/>
        <w:jc w:val="end"/>
        <w:rPr>
          <w:b/>
          <w:sz w:val="24"/>
          <w:szCs w:val="24"/>
        </w:rPr>
      </w:pPr>
      <w:r>
        <w:rPr>
          <w:b/>
          <w:sz w:val="24"/>
          <w:szCs w:val="24"/>
        </w:rPr>
      </w:r>
    </w:p>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17"/>
        <w:gridCol w:w="3108"/>
        <w:gridCol w:w="3125"/>
        <w:gridCol w:w="1500"/>
      </w:tblGrid>
      <w:tr>
        <w:trPr/>
        <w:tc>
          <w:tcPr>
            <w:tcW w:w="3117" w:type="dxa"/>
            <w:tcBorders/>
            <w:shd w:val="clear" w:color="auto" w:fill="4472C4"/>
          </w:tcPr>
          <w:p>
            <w:pPr>
              <w:pStyle w:val="ListParagraph"/>
              <w:suppressAutoHyphens w:val="true"/>
              <w:spacing w:before="0" w:after="0"/>
              <w:ind w:hanging="361" w:start="0"/>
              <w:jc w:val="center"/>
              <w:rPr>
                <w:b/>
                <w:sz w:val="24"/>
                <w:szCs w:val="24"/>
              </w:rPr>
            </w:pPr>
            <w:r>
              <w:rPr>
                <w:rFonts w:cs="Times New Roman"/>
                <w:b/>
                <w:color w:val="FFFFFF"/>
                <w:kern w:val="0"/>
                <w:sz w:val="24"/>
                <w:szCs w:val="24"/>
                <w:lang w:bidi="ar-SA"/>
              </w:rPr>
              <w:t>Full Name</w:t>
            </w:r>
          </w:p>
        </w:tc>
        <w:tc>
          <w:tcPr>
            <w:tcW w:w="3108" w:type="dxa"/>
            <w:tcBorders/>
            <w:shd w:val="clear" w:color="auto" w:fill="4472C4"/>
          </w:tcPr>
          <w:p>
            <w:pPr>
              <w:pStyle w:val="ListParagraph"/>
              <w:suppressAutoHyphens w:val="true"/>
              <w:spacing w:before="0" w:after="0"/>
              <w:ind w:hanging="361" w:start="0"/>
              <w:jc w:val="center"/>
              <w:rPr>
                <w:b/>
                <w:sz w:val="24"/>
                <w:szCs w:val="24"/>
              </w:rPr>
            </w:pPr>
            <w:r>
              <w:rPr>
                <w:rFonts w:cs="Times New Roman"/>
                <w:b/>
                <w:color w:val="FFFFFF"/>
                <w:kern w:val="0"/>
                <w:sz w:val="24"/>
                <w:szCs w:val="24"/>
                <w:lang w:bidi="ar-SA"/>
              </w:rPr>
              <w:t>Nationality</w:t>
            </w:r>
          </w:p>
        </w:tc>
        <w:tc>
          <w:tcPr>
            <w:tcW w:w="3125" w:type="dxa"/>
            <w:tcBorders/>
            <w:shd w:val="clear" w:color="auto" w:fill="4472C4"/>
          </w:tcPr>
          <w:p>
            <w:pPr>
              <w:pStyle w:val="ListParagraph"/>
              <w:suppressAutoHyphens w:val="true"/>
              <w:spacing w:before="0" w:after="0"/>
              <w:ind w:hanging="361" w:start="0"/>
              <w:jc w:val="center"/>
              <w:rPr>
                <w:b/>
                <w:sz w:val="24"/>
                <w:szCs w:val="24"/>
              </w:rPr>
            </w:pPr>
            <w:r>
              <w:rPr>
                <w:rFonts w:cs="Times New Roman"/>
                <w:b/>
                <w:color w:val="FFFFFF"/>
                <w:kern w:val="0"/>
                <w:sz w:val="24"/>
                <w:szCs w:val="24"/>
                <w:lang w:bidi="ar-SA"/>
              </w:rPr>
              <w:t>Address</w:t>
            </w:r>
          </w:p>
        </w:tc>
        <w:tc>
          <w:tcPr>
            <w:tcW w:w="3125" w:type="dxa"/>
            <w:tcBorders/>
            <w:shd w:val="clear" w:color="auto" w:fill="4472C4"/>
          </w:tcPr>
          <w:p>
            <w:pPr>
              <w:pStyle w:val="ListParagraph"/>
              <w:suppressAutoHyphens w:val="true"/>
              <w:spacing w:before="0" w:after="0"/>
              <w:ind w:hanging="361" w:start="0"/>
              <w:jc w:val="center"/>
              <w:rPr>
                <w:b/>
                <w:sz w:val="24"/>
                <w:szCs w:val="24"/>
              </w:rPr>
            </w:pPr>
            <w:r>
              <w:rPr>
                <w:b/>
                <w:color w:val="FFFFFF"/>
                <w:sz w:val="20"/>
              </w:rPr>
              <w:t>ORCID</w:t>
            </w:r>
          </w:p>
        </w:tc>
      </w:tr>
      <w:tr>
        <w:trPr/>
        <w:tc>
          <w:tcPr>
            <w:tcW w:w="311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Vyankatesh Dattatray Dawale</w:t>
            </w:r>
          </w:p>
        </w:tc>
        <w:tc>
          <w:tcPr>
            <w:tcW w:w="310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Indian</w:t>
            </w:r>
          </w:p>
        </w:tc>
        <w:tc>
          <w:tcPr>
            <w:tcW w:w="3125" w:type="dxa"/>
            <w:tcBorders/>
          </w:tcPr>
          <w:p>
            <w:pPr>
              <w:pStyle w:val="Normal"/>
              <w:suppressAutoHyphens w:val="true"/>
              <w:spacing w:before="0" w:after="0"/>
              <w:jc w:val="start"/>
              <w:rPr>
                <w:rFonts w:ascii="Times New Roman" w:hAnsi="Times New Roman" w:cs="Times New Roman"/>
                <w:kern w:val="0"/>
                <w:lang w:bidi="ar-SA"/>
              </w:rPr>
            </w:pPr>
            <w:r>
              <w:rPr>
                <w:b w:val="0"/>
                <w:sz w:val="20"/>
              </w:rPr>
              <w:t>Department of Computer Engineering, Vishwakarma University, Pune, India</w:t>
            </w:r>
          </w:p>
        </w:tc>
        <w:tc>
          <w:tcPr>
            <w:tcW w:w="3125" w:type="dxa"/>
            <w:tcBorders/>
          </w:tcPr>
          <w:p>
            <w:pPr>
              <w:pStyle w:val="Normal"/>
              <w:suppressAutoHyphens w:val="true"/>
              <w:spacing w:before="0" w:after="0"/>
              <w:jc w:val="start"/>
              <w:rPr>
                <w:rFonts w:ascii="Times New Roman" w:hAnsi="Times New Roman" w:cs="Times New Roman"/>
                <w:kern w:val="0"/>
                <w:lang w:bidi="ar-SA"/>
              </w:rPr>
            </w:pPr>
            <w:r>
              <w:rPr>
                <w:b w:val="0"/>
                <w:sz w:val="20"/>
              </w:rPr>
              <w:t>0009-0008-8773-9604</w:t>
            </w:r>
          </w:p>
        </w:tc>
      </w:tr>
      <w:tr>
        <w:trPr/>
        <w:tc>
          <w:tcPr>
            <w:tcW w:w="311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Pratyush Kunal Chaudhari</w:t>
            </w:r>
          </w:p>
        </w:tc>
        <w:tc>
          <w:tcPr>
            <w:tcW w:w="310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Indian</w:t>
            </w:r>
          </w:p>
        </w:tc>
        <w:tc>
          <w:tcPr>
            <w:tcW w:w="3125" w:type="dxa"/>
            <w:tcBorders/>
          </w:tcPr>
          <w:p>
            <w:pPr>
              <w:pStyle w:val="Normal"/>
              <w:suppressAutoHyphens w:val="true"/>
              <w:spacing w:before="0" w:after="0"/>
              <w:jc w:val="start"/>
              <w:rPr>
                <w:rFonts w:ascii="Times New Roman" w:hAnsi="Times New Roman" w:cs="Times New Roman"/>
                <w:kern w:val="0"/>
                <w:lang w:bidi="ar-SA"/>
              </w:rPr>
            </w:pPr>
            <w:r>
              <w:rPr>
                <w:b w:val="0"/>
                <w:sz w:val="20"/>
              </w:rPr>
              <w:t>Department of Computer Engineering, Vishwakarma University, Pune, India</w:t>
            </w:r>
          </w:p>
        </w:tc>
        <w:tc>
          <w:tcPr>
            <w:tcW w:w="3125" w:type="dxa"/>
            <w:tcBorders/>
          </w:tcPr>
          <w:p>
            <w:pPr>
              <w:pStyle w:val="Normal"/>
              <w:suppressAutoHyphens w:val="true"/>
              <w:spacing w:before="0" w:after="0"/>
              <w:jc w:val="start"/>
              <w:rPr>
                <w:rFonts w:ascii="Times New Roman" w:hAnsi="Times New Roman" w:cs="Times New Roman"/>
                <w:kern w:val="0"/>
                <w:lang w:bidi="ar-SA"/>
              </w:rPr>
            </w:pPr>
            <w:r>
              <w:rPr>
                <w:b w:val="0"/>
                <w:sz w:val="20"/>
              </w:rPr>
              <w:t>0009-0001-8815-7779</w:t>
            </w:r>
          </w:p>
        </w:tc>
      </w:tr>
      <w:tr>
        <w:trPr/>
        <w:tc>
          <w:tcPr>
            <w:tcW w:w="311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Atharva Namdeo Dhakne</w:t>
            </w:r>
          </w:p>
        </w:tc>
        <w:tc>
          <w:tcPr>
            <w:tcW w:w="310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Indian</w:t>
            </w:r>
          </w:p>
        </w:tc>
        <w:tc>
          <w:tcPr>
            <w:tcW w:w="3125" w:type="dxa"/>
            <w:tcBorders/>
          </w:tcPr>
          <w:p>
            <w:pPr>
              <w:pStyle w:val="Normal"/>
              <w:suppressAutoHyphens w:val="true"/>
              <w:spacing w:before="0" w:after="0"/>
              <w:jc w:val="start"/>
              <w:rPr>
                <w:rFonts w:ascii="Times New Roman" w:hAnsi="Times New Roman" w:cs="Times New Roman"/>
                <w:kern w:val="0"/>
                <w:lang w:bidi="ar-SA"/>
              </w:rPr>
            </w:pPr>
            <w:r>
              <w:rPr>
                <w:b w:val="0"/>
                <w:sz w:val="20"/>
              </w:rPr>
              <w:t>Department of Computer Engineering, Vishwakarma University, Pune, India</w:t>
            </w:r>
          </w:p>
        </w:tc>
        <w:tc>
          <w:tcPr>
            <w:tcW w:w="3125" w:type="dxa"/>
            <w:tcBorders/>
          </w:tcPr>
          <w:p>
            <w:pPr>
              <w:pStyle w:val="Normal"/>
              <w:suppressAutoHyphens w:val="true"/>
              <w:spacing w:before="0" w:after="0"/>
              <w:jc w:val="start"/>
              <w:rPr>
                <w:rFonts w:ascii="Times New Roman" w:hAnsi="Times New Roman" w:cs="Times New Roman"/>
                <w:kern w:val="0"/>
                <w:lang w:bidi="ar-SA"/>
              </w:rPr>
            </w:pPr>
            <w:r>
              <w:rPr>
                <w:b w:val="0"/>
                <w:sz w:val="20"/>
              </w:rPr>
              <w:t>0009-0006-8357-8335</w:t>
            </w:r>
          </w:p>
        </w:tc>
      </w:tr>
    </w:tbl>
    <w:p>
      <w:pPr>
        <w:pStyle w:val="BodyText"/>
        <w:spacing w:before="5" w:after="0"/>
        <w:jc w:val="both"/>
        <w:rPr>
          <w:b/>
          <w:sz w:val="24"/>
          <w:szCs w:val="24"/>
        </w:rPr>
      </w:pPr>
      <w:r>
        <w:rPr>
          <w:b/>
          <w:sz w:val="24"/>
          <w:szCs w:val="24"/>
        </w:rPr>
      </w:r>
    </w:p>
    <w:p>
      <w:pPr>
        <w:pStyle w:val="BodyText"/>
        <w:spacing w:before="10" w:after="0"/>
        <w:jc w:val="both"/>
        <w:rPr>
          <w:sz w:val="24"/>
          <w:szCs w:val="24"/>
        </w:rPr>
      </w:pPr>
      <w:r>
        <w:rPr>
          <w:sz w:val="24"/>
          <w:szCs w:val="24"/>
        </w:rPr>
      </w:r>
    </w:p>
    <w:p>
      <w:pPr>
        <w:pStyle w:val="ListParagraph"/>
        <w:numPr>
          <w:ilvl w:val="0"/>
          <w:numId w:val="1"/>
        </w:numPr>
        <w:ind w:hanging="0" w:start="0"/>
        <w:jc w:val="both"/>
        <w:rPr>
          <w:b/>
          <w:sz w:val="24"/>
          <w:szCs w:val="24"/>
        </w:rPr>
      </w:pPr>
      <w:r>
        <w:rPr>
          <w:b/>
          <w:sz w:val="24"/>
          <w:szCs w:val="24"/>
        </w:rPr>
        <w:t>Full</w:t>
      </w:r>
      <w:r>
        <w:rPr>
          <w:b/>
          <w:spacing w:val="-3"/>
          <w:sz w:val="24"/>
          <w:szCs w:val="24"/>
        </w:rPr>
        <w:t xml:space="preserve"> </w:t>
      </w:r>
      <w:r>
        <w:rPr>
          <w:b/>
          <w:sz w:val="24"/>
          <w:szCs w:val="24"/>
        </w:rPr>
        <w:t>name (including middle name), nationality</w:t>
      </w:r>
      <w:r>
        <w:rPr>
          <w:b/>
          <w:spacing w:val="-2"/>
          <w:sz w:val="24"/>
          <w:szCs w:val="24"/>
        </w:rPr>
        <w:t xml:space="preserve">, </w:t>
      </w:r>
      <w:r>
        <w:rPr>
          <w:b/>
          <w:sz w:val="24"/>
          <w:szCs w:val="24"/>
        </w:rPr>
        <w:t xml:space="preserve">address, mail id, </w:t>
        <w:tab/>
        <w:t>and phone number</w:t>
      </w:r>
      <w:r>
        <w:rPr>
          <w:b/>
          <w:spacing w:val="-1"/>
          <w:sz w:val="24"/>
          <w:szCs w:val="24"/>
        </w:rPr>
        <w:t xml:space="preserve"> </w:t>
      </w:r>
      <w:r>
        <w:rPr>
          <w:b/>
          <w:sz w:val="24"/>
          <w:szCs w:val="24"/>
        </w:rPr>
        <w:t>of</w:t>
      </w:r>
      <w:r>
        <w:rPr>
          <w:b/>
          <w:spacing w:val="-5"/>
          <w:sz w:val="24"/>
          <w:szCs w:val="24"/>
        </w:rPr>
        <w:t xml:space="preserve"> </w:t>
      </w:r>
      <w:r>
        <w:rPr>
          <w:b/>
          <w:sz w:val="24"/>
          <w:szCs w:val="24"/>
        </w:rPr>
        <w:t>inventor(s):</w:t>
      </w:r>
    </w:p>
    <w:p>
      <w:pPr>
        <w:pStyle w:val="ListParagraph"/>
        <w:ind w:hanging="0" w:start="0"/>
        <w:jc w:val="end"/>
        <w:rPr>
          <w:b/>
          <w:sz w:val="24"/>
          <w:szCs w:val="24"/>
        </w:rPr>
      </w:pPr>
      <w:r>
        <w:rPr>
          <w:b/>
          <w:sz w:val="24"/>
          <w:szCs w:val="24"/>
        </w:rPr>
      </w:r>
    </w:p>
    <w:p>
      <w:pPr>
        <w:pStyle w:val="ListParagraph"/>
        <w:ind w:hanging="0" w:start="0"/>
        <w:rPr>
          <w:b/>
          <w:sz w:val="24"/>
          <w:szCs w:val="24"/>
        </w:rPr>
      </w:pPr>
      <w:r>
        <w:rPr>
          <w:b/>
          <w:sz w:val="24"/>
          <w:szCs w:val="24"/>
        </w:rPr>
        <w:tab/>
      </w:r>
    </w:p>
    <w:tbl>
      <w:tblPr>
        <w:tblStyle w:val="TableGrid"/>
        <w:tblW w:w="977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725"/>
        <w:gridCol w:w="964"/>
        <w:gridCol w:w="2835"/>
        <w:gridCol w:w="2369"/>
        <w:gridCol w:w="1883"/>
      </w:tblGrid>
      <w:tr>
        <w:trPr/>
        <w:tc>
          <w:tcPr>
            <w:tcW w:w="1725" w:type="dxa"/>
            <w:tcBorders/>
            <w:shd w:val="clear" w:color="auto" w:fill="4472C4"/>
          </w:tcPr>
          <w:p>
            <w:pPr>
              <w:pStyle w:val="ListParagraph"/>
              <w:suppressAutoHyphens w:val="true"/>
              <w:spacing w:before="0" w:after="0"/>
              <w:ind w:hanging="0" w:start="0"/>
              <w:jc w:val="center"/>
              <w:rPr>
                <w:b/>
                <w:sz w:val="24"/>
                <w:szCs w:val="24"/>
              </w:rPr>
            </w:pPr>
            <w:r>
              <w:rPr>
                <w:rFonts w:cs="Times New Roman"/>
                <w:b/>
                <w:color w:val="FFFFFF"/>
                <w:kern w:val="0"/>
                <w:sz w:val="24"/>
                <w:szCs w:val="24"/>
                <w:lang w:bidi="ar-SA"/>
              </w:rPr>
              <w:t>Full Name (Including middle name)</w:t>
            </w:r>
          </w:p>
        </w:tc>
        <w:tc>
          <w:tcPr>
            <w:tcW w:w="964" w:type="dxa"/>
            <w:tcBorders/>
            <w:shd w:val="clear" w:color="auto" w:fill="4472C4"/>
          </w:tcPr>
          <w:p>
            <w:pPr>
              <w:pStyle w:val="ListParagraph"/>
              <w:suppressAutoHyphens w:val="true"/>
              <w:spacing w:before="0" w:after="0"/>
              <w:ind w:hanging="0" w:start="0"/>
              <w:jc w:val="center"/>
              <w:rPr>
                <w:b/>
                <w:sz w:val="24"/>
                <w:szCs w:val="24"/>
              </w:rPr>
            </w:pPr>
            <w:r>
              <w:rPr>
                <w:rFonts w:cs="Times New Roman"/>
                <w:b/>
                <w:color w:val="FFFFFF"/>
                <w:kern w:val="0"/>
                <w:sz w:val="24"/>
                <w:szCs w:val="24"/>
                <w:lang w:bidi="ar-SA"/>
              </w:rPr>
              <w:t>Nationality</w:t>
            </w:r>
          </w:p>
        </w:tc>
        <w:tc>
          <w:tcPr>
            <w:tcW w:w="2835" w:type="dxa"/>
            <w:tcBorders/>
            <w:shd w:val="clear" w:color="auto" w:fill="4472C4"/>
          </w:tcPr>
          <w:p>
            <w:pPr>
              <w:pStyle w:val="ListParagraph"/>
              <w:suppressAutoHyphens w:val="true"/>
              <w:spacing w:before="0" w:after="0"/>
              <w:ind w:hanging="0" w:start="0"/>
              <w:jc w:val="center"/>
              <w:rPr>
                <w:b/>
                <w:sz w:val="24"/>
                <w:szCs w:val="24"/>
              </w:rPr>
            </w:pPr>
            <w:r>
              <w:rPr>
                <w:b/>
                <w:color w:val="FFFFFF"/>
                <w:sz w:val="20"/>
              </w:rPr>
              <w:t>Address (Department, Institution, City, Country)</w:t>
            </w:r>
          </w:p>
        </w:tc>
        <w:tc>
          <w:tcPr>
            <w:tcW w:w="2369" w:type="dxa"/>
            <w:tcBorders/>
            <w:shd w:val="clear" w:color="auto" w:fill="4472C4"/>
          </w:tcPr>
          <w:p>
            <w:pPr>
              <w:pStyle w:val="ListParagraph"/>
              <w:suppressAutoHyphens w:val="true"/>
              <w:spacing w:before="0" w:after="0"/>
              <w:ind w:hanging="0" w:start="0"/>
              <w:jc w:val="center"/>
              <w:rPr>
                <w:b/>
                <w:sz w:val="24"/>
                <w:szCs w:val="24"/>
              </w:rPr>
            </w:pPr>
            <w:r>
              <w:rPr>
                <w:rFonts w:cs="Times New Roman"/>
                <w:b/>
                <w:color w:val="FFFFFF"/>
                <w:kern w:val="0"/>
                <w:sz w:val="24"/>
                <w:szCs w:val="24"/>
                <w:lang w:bidi="ar-SA"/>
              </w:rPr>
              <w:t>Mail ID</w:t>
            </w:r>
          </w:p>
        </w:tc>
        <w:tc>
          <w:tcPr>
            <w:tcW w:w="1883" w:type="dxa"/>
            <w:tcBorders/>
            <w:shd w:val="clear" w:color="auto" w:fill="4472C4"/>
          </w:tcPr>
          <w:p>
            <w:pPr>
              <w:pStyle w:val="ListParagraph"/>
              <w:suppressAutoHyphens w:val="true"/>
              <w:spacing w:before="0" w:after="0"/>
              <w:ind w:hanging="0" w:start="0"/>
              <w:jc w:val="center"/>
              <w:rPr>
                <w:b/>
                <w:sz w:val="24"/>
                <w:szCs w:val="24"/>
              </w:rPr>
            </w:pPr>
            <w:r>
              <w:rPr>
                <w:rFonts w:cs="Times New Roman"/>
                <w:b/>
                <w:color w:val="FFFFFF"/>
                <w:kern w:val="0"/>
                <w:sz w:val="24"/>
                <w:szCs w:val="24"/>
                <w:lang w:bidi="ar-SA"/>
              </w:rPr>
              <w:t>Phone No.</w:t>
            </w:r>
          </w:p>
        </w:tc>
      </w:tr>
      <w:tr>
        <w:trPr/>
        <w:tc>
          <w:tcPr>
            <w:tcW w:w="1725"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Vyankatesh Dattatray Dawale</w:t>
            </w:r>
          </w:p>
        </w:tc>
        <w:tc>
          <w:tcPr>
            <w:tcW w:w="964" w:type="dxa"/>
            <w:tcBorders/>
          </w:tcPr>
          <w:p>
            <w:pPr>
              <w:pStyle w:val="ListParagraph"/>
              <w:suppressAutoHyphens w:val="true"/>
              <w:spacing w:lineRule="auto" w:line="360" w:before="0" w:after="0"/>
              <w:ind w:hanging="0" w:start="0"/>
              <w:jc w:val="center"/>
              <w:rPr>
                <w:bCs/>
                <w:sz w:val="24"/>
                <w:szCs w:val="24"/>
              </w:rPr>
            </w:pPr>
            <w:r>
              <w:rPr>
                <w:rFonts w:cs="Times New Roman"/>
                <w:bCs/>
                <w:kern w:val="0"/>
                <w:sz w:val="24"/>
                <w:szCs w:val="24"/>
                <w:lang w:bidi="ar-SA"/>
              </w:rPr>
              <w:t>IN</w:t>
            </w:r>
          </w:p>
        </w:tc>
        <w:tc>
          <w:tcPr>
            <w:tcW w:w="2835" w:type="dxa"/>
            <w:tcBorders/>
          </w:tcPr>
          <w:p>
            <w:pPr>
              <w:pStyle w:val="ListParagraph"/>
              <w:suppressAutoHyphens w:val="true"/>
              <w:spacing w:lineRule="auto" w:line="276" w:before="0" w:after="0"/>
              <w:ind w:hanging="0" w:start="0"/>
              <w:jc w:val="center"/>
              <w:rPr>
                <w:bCs/>
                <w:sz w:val="24"/>
                <w:szCs w:val="24"/>
              </w:rPr>
            </w:pPr>
            <w:r>
              <w:rPr>
                <w:b w:val="0"/>
                <w:sz w:val="20"/>
              </w:rPr>
              <w:t>Department of Computer Engineering, Vishwakarma University, Pune, India</w:t>
            </w:r>
          </w:p>
        </w:tc>
        <w:tc>
          <w:tcPr>
            <w:tcW w:w="2369"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vyankateshdawale@gmail.com</w:t>
            </w:r>
          </w:p>
        </w:tc>
        <w:tc>
          <w:tcPr>
            <w:tcW w:w="1883"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9765006889</w:t>
            </w:r>
          </w:p>
        </w:tc>
      </w:tr>
      <w:tr>
        <w:trPr/>
        <w:tc>
          <w:tcPr>
            <w:tcW w:w="1725"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Pratyush Kunal Chaudhari</w:t>
            </w:r>
          </w:p>
        </w:tc>
        <w:tc>
          <w:tcPr>
            <w:tcW w:w="964" w:type="dxa"/>
            <w:tcBorders/>
          </w:tcPr>
          <w:p>
            <w:pPr>
              <w:pStyle w:val="ListParagraph"/>
              <w:suppressAutoHyphens w:val="true"/>
              <w:spacing w:lineRule="auto" w:line="360" w:before="0" w:after="0"/>
              <w:ind w:hanging="0" w:start="0"/>
              <w:jc w:val="center"/>
              <w:rPr>
                <w:bCs/>
                <w:sz w:val="24"/>
                <w:szCs w:val="24"/>
              </w:rPr>
            </w:pPr>
            <w:r>
              <w:rPr>
                <w:rFonts w:cs="Times New Roman"/>
                <w:bCs/>
                <w:kern w:val="0"/>
                <w:sz w:val="24"/>
                <w:szCs w:val="24"/>
                <w:lang w:bidi="ar-SA"/>
              </w:rPr>
              <w:t>IN</w:t>
            </w:r>
          </w:p>
        </w:tc>
        <w:tc>
          <w:tcPr>
            <w:tcW w:w="2835" w:type="dxa"/>
            <w:tcBorders/>
          </w:tcPr>
          <w:p>
            <w:pPr>
              <w:pStyle w:val="ListParagraph"/>
              <w:suppressAutoHyphens w:val="true"/>
              <w:spacing w:lineRule="auto" w:line="276" w:before="0" w:after="0"/>
              <w:ind w:hanging="0" w:start="0"/>
              <w:jc w:val="center"/>
              <w:rPr>
                <w:bCs/>
                <w:sz w:val="24"/>
                <w:szCs w:val="24"/>
              </w:rPr>
            </w:pPr>
            <w:r>
              <w:rPr>
                <w:b w:val="0"/>
                <w:sz w:val="20"/>
              </w:rPr>
              <w:t>Department of Computer Engineering, Vishwakarma University, Pune, India</w:t>
            </w:r>
          </w:p>
        </w:tc>
        <w:tc>
          <w:tcPr>
            <w:tcW w:w="2369"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pratyush369chaudhary@gmail.com</w:t>
            </w:r>
          </w:p>
        </w:tc>
        <w:tc>
          <w:tcPr>
            <w:tcW w:w="1883"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9370949163</w:t>
            </w:r>
          </w:p>
        </w:tc>
      </w:tr>
      <w:tr>
        <w:trPr/>
        <w:tc>
          <w:tcPr>
            <w:tcW w:w="1725" w:type="dxa"/>
            <w:tcBorders/>
          </w:tcPr>
          <w:p>
            <w:pPr>
              <w:pStyle w:val="ListParagraph"/>
              <w:suppressAutoHyphens w:val="true"/>
              <w:spacing w:before="0" w:after="0"/>
              <w:ind w:hanging="0" w:start="0"/>
              <w:jc w:val="center"/>
              <w:rPr>
                <w:bCs/>
                <w:sz w:val="24"/>
                <w:szCs w:val="24"/>
              </w:rPr>
            </w:pPr>
            <w:r>
              <w:rPr>
                <w:rFonts w:cs="Times New Roman"/>
                <w:kern w:val="0"/>
                <w:lang w:bidi="ar-SA"/>
              </w:rPr>
              <w:t>Atharva Namdeo Dhakne</w:t>
            </w:r>
          </w:p>
        </w:tc>
        <w:tc>
          <w:tcPr>
            <w:tcW w:w="964" w:type="dxa"/>
            <w:tcBorders/>
          </w:tcPr>
          <w:p>
            <w:pPr>
              <w:pStyle w:val="ListParagraph"/>
              <w:suppressAutoHyphens w:val="true"/>
              <w:spacing w:lineRule="auto" w:line="360" w:before="0" w:after="0"/>
              <w:ind w:hanging="0" w:start="0"/>
              <w:jc w:val="center"/>
              <w:rPr>
                <w:bCs/>
                <w:sz w:val="24"/>
                <w:szCs w:val="24"/>
              </w:rPr>
            </w:pPr>
            <w:r>
              <w:rPr>
                <w:rFonts w:cs="Times New Roman"/>
                <w:bCs/>
                <w:kern w:val="0"/>
                <w:sz w:val="24"/>
                <w:szCs w:val="24"/>
                <w:lang w:bidi="ar-SA"/>
              </w:rPr>
              <w:t>IN</w:t>
            </w:r>
          </w:p>
        </w:tc>
        <w:tc>
          <w:tcPr>
            <w:tcW w:w="2835" w:type="dxa"/>
            <w:tcBorders/>
          </w:tcPr>
          <w:p>
            <w:pPr>
              <w:pStyle w:val="ListParagraph"/>
              <w:suppressAutoHyphens w:val="true"/>
              <w:spacing w:lineRule="auto" w:line="276" w:before="0" w:after="0"/>
              <w:ind w:hanging="0" w:start="0"/>
              <w:jc w:val="center"/>
              <w:rPr>
                <w:bCs/>
                <w:sz w:val="24"/>
                <w:szCs w:val="24"/>
              </w:rPr>
            </w:pPr>
            <w:r>
              <w:rPr>
                <w:b w:val="0"/>
                <w:sz w:val="20"/>
              </w:rPr>
              <w:t>Department of Computer Engineering, Vishwakarma University, Pune, India</w:t>
            </w:r>
          </w:p>
        </w:tc>
        <w:tc>
          <w:tcPr>
            <w:tcW w:w="2369"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atharvadhakne09@gmail.com</w:t>
            </w:r>
          </w:p>
        </w:tc>
        <w:tc>
          <w:tcPr>
            <w:tcW w:w="1883"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8793399940</w:t>
            </w:r>
          </w:p>
        </w:tc>
      </w:tr>
    </w:tbl>
    <w:p>
      <w:pPr>
        <w:pStyle w:val="ListParagraph"/>
        <w:ind w:hanging="0" w:start="0"/>
        <w:rPr>
          <w:b/>
          <w:sz w:val="24"/>
          <w:szCs w:val="24"/>
        </w:rPr>
      </w:pPr>
      <w:r>
        <w:rPr>
          <w:b/>
          <w:sz w:val="24"/>
          <w:szCs w:val="24"/>
        </w:rPr>
      </w:r>
    </w:p>
    <w:p>
      <w:pPr>
        <w:pStyle w:val="BodyText"/>
        <w:spacing w:before="1" w:after="0"/>
        <w:jc w:val="both"/>
        <w:rPr>
          <w:sz w:val="24"/>
          <w:szCs w:val="24"/>
        </w:rPr>
      </w:pPr>
      <w:r>
        <w:rPr>
          <w:sz w:val="24"/>
          <w:szCs w:val="24"/>
        </w:rPr>
      </w:r>
    </w:p>
    <w:p>
      <w:pPr>
        <w:pStyle w:val="BodyText"/>
        <w:spacing w:before="1" w:after="0"/>
        <w:jc w:val="both"/>
        <w:rPr>
          <w:sz w:val="24"/>
          <w:szCs w:val="24"/>
        </w:rPr>
      </w:pPr>
      <w:r>
        <w:rPr>
          <w:sz w:val="24"/>
          <w:szCs w:val="24"/>
        </w:rPr>
      </w:r>
    </w:p>
    <w:p>
      <w:pPr>
        <w:pStyle w:val="BodyText"/>
        <w:spacing w:before="1" w:after="0"/>
        <w:jc w:val="both"/>
        <w:rPr>
          <w:sz w:val="24"/>
          <w:szCs w:val="24"/>
        </w:rPr>
      </w:pPr>
      <w:r>
        <w:rPr>
          <w:sz w:val="24"/>
          <w:szCs w:val="24"/>
        </w:rPr>
      </w:r>
    </w:p>
    <w:p>
      <w:pPr>
        <w:pStyle w:val="BodyText"/>
        <w:spacing w:before="1" w:after="0"/>
        <w:jc w:val="both"/>
        <w:rPr>
          <w:b/>
          <w:bCs/>
          <w:sz w:val="24"/>
          <w:szCs w:val="24"/>
        </w:rPr>
      </w:pPr>
      <w:r>
        <w:rPr>
          <w:b/>
          <w:bCs/>
          <w:sz w:val="24"/>
          <w:szCs w:val="24"/>
        </w:rPr>
      </w:r>
    </w:p>
    <w:p>
      <w:pPr>
        <w:pStyle w:val="BodyText"/>
        <w:spacing w:before="1" w:after="0"/>
        <w:jc w:val="both"/>
        <w:rPr>
          <w:b/>
          <w:bCs/>
          <w:sz w:val="24"/>
          <w:szCs w:val="24"/>
        </w:rPr>
      </w:pPr>
      <w:r>
        <w:rPr>
          <w:b/>
          <w:bCs/>
          <w:sz w:val="24"/>
          <w:szCs w:val="24"/>
        </w:rPr>
      </w:r>
    </w:p>
    <w:p>
      <w:pPr>
        <w:pStyle w:val="BodyText"/>
        <w:spacing w:before="1" w:after="0"/>
        <w:jc w:val="both"/>
        <w:rPr>
          <w:b/>
          <w:bCs/>
          <w:sz w:val="24"/>
          <w:szCs w:val="24"/>
        </w:rPr>
      </w:pPr>
      <w:r>
        <w:rPr>
          <w:b/>
          <w:bCs/>
          <w:sz w:val="24"/>
          <w:szCs w:val="24"/>
        </w:rPr>
        <w:t>Copy and paste clear soft copy of signatures of all inventors in the following table: (Insert or delete the cells as per number of inventers)</w:t>
      </w:r>
    </w:p>
    <w:p>
      <w:pPr>
        <w:pStyle w:val="BodyText"/>
        <w:spacing w:before="1" w:after="0"/>
        <w:jc w:val="both"/>
        <w:rPr>
          <w:sz w:val="24"/>
          <w:szCs w:val="24"/>
        </w:rPr>
      </w:pPr>
      <w:r>
        <w:rPr>
          <w:sz w:val="24"/>
          <w:szCs w:val="24"/>
        </w:rPr>
      </w:r>
    </w:p>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37"/>
        <w:gridCol w:w="2337"/>
        <w:gridCol w:w="2338"/>
      </w:tblGrid>
      <w:tr>
        <w:trPr>
          <w:trHeight w:val="1134" w:hRule="atLeast"/>
        </w:trPr>
        <w:tc>
          <w:tcPr>
            <w:tcW w:w="2337" w:type="dxa"/>
            <w:tcBorders/>
            <w:shd w:val="clear" w:color="auto" w:fill="4472C4"/>
          </w:tcPr>
          <w:p>
            <w:pPr>
              <w:pStyle w:val="BodyText"/>
              <w:suppressAutoHyphens w:val="true"/>
              <w:spacing w:before="1" w:after="0"/>
              <w:jc w:val="center"/>
              <w:rPr>
                <w:sz w:val="24"/>
                <w:szCs w:val="24"/>
              </w:rPr>
            </w:pPr>
            <w:r>
              <w:rPr>
                <w:b/>
                <w:color w:val="FFFFFF"/>
                <w:sz w:val="20"/>
              </w:rPr>
              <w:t>Name:</w:t>
            </w:r>
          </w:p>
        </w:tc>
        <w:tc>
          <w:tcPr>
            <w:tcW w:w="2337" w:type="dxa"/>
            <w:tcBorders/>
            <w:shd w:val="clear" w:color="auto" w:fill="4472C4"/>
          </w:tcPr>
          <w:p>
            <w:pPr>
              <w:pStyle w:val="BodyText"/>
              <w:suppressAutoHyphens w:val="true"/>
              <w:spacing w:before="1" w:after="0"/>
              <w:jc w:val="center"/>
              <w:rPr>
                <w:sz w:val="24"/>
                <w:szCs w:val="24"/>
              </w:rPr>
            </w:pPr>
            <w:r>
              <w:rPr>
                <w:b/>
                <w:color w:val="FFFFFF"/>
                <w:sz w:val="20"/>
              </w:rPr>
              <w:t>Name:</w:t>
            </w:r>
          </w:p>
        </w:tc>
        <w:tc>
          <w:tcPr>
            <w:tcW w:w="2338" w:type="dxa"/>
            <w:tcBorders/>
            <w:shd w:val="clear" w:color="auto" w:fill="4472C4"/>
          </w:tcPr>
          <w:p>
            <w:pPr>
              <w:pStyle w:val="BodyText"/>
              <w:suppressAutoHyphens w:val="true"/>
              <w:spacing w:before="1" w:after="0"/>
              <w:jc w:val="center"/>
              <w:rPr>
                <w:sz w:val="24"/>
                <w:szCs w:val="24"/>
              </w:rPr>
            </w:pPr>
            <w:r>
              <w:rPr>
                <w:b/>
                <w:color w:val="FFFFFF"/>
                <w:sz w:val="20"/>
              </w:rPr>
              <w:t>Name:</w:t>
            </w:r>
          </w:p>
        </w:tc>
      </w:tr>
      <w:tr>
        <w:trPr/>
        <w:tc>
          <w:tcPr>
            <w:tcW w:w="2337" w:type="dxa"/>
            <w:tcBorders/>
          </w:tcPr>
          <w:p>
            <w:pPr>
              <w:pStyle w:val="Normal"/>
              <w:suppressAutoHyphens w:val="true"/>
              <w:spacing w:before="0" w:after="0"/>
              <w:jc w:val="center"/>
              <w:rPr>
                <w:rFonts w:ascii="Times New Roman" w:hAnsi="Times New Roman" w:cs="Times New Roman"/>
                <w:kern w:val="0"/>
                <w:lang w:bidi="ar-SA"/>
              </w:rPr>
            </w:pPr>
            <w:r>
              <w:rPr>
                <w:b/>
                <w:sz w:val="22"/>
              </w:rPr>
              <w:t>Vyankatesh Dattatray Dawale</w:t>
            </w:r>
          </w:p>
        </w:tc>
        <w:tc>
          <w:tcPr>
            <w:tcW w:w="2337" w:type="dxa"/>
            <w:tcBorders/>
          </w:tcPr>
          <w:p>
            <w:pPr>
              <w:pStyle w:val="Normal"/>
              <w:suppressAutoHyphens w:val="true"/>
              <w:spacing w:before="0" w:after="0"/>
              <w:jc w:val="center"/>
              <w:rPr>
                <w:rFonts w:ascii="Times New Roman" w:hAnsi="Times New Roman" w:cs="Times New Roman"/>
                <w:kern w:val="0"/>
                <w:lang w:bidi="ar-SA"/>
              </w:rPr>
            </w:pPr>
            <w:r>
              <w:rPr>
                <w:b/>
                <w:sz w:val="22"/>
              </w:rPr>
              <w:t>Pratyush Kunal Chaudhari</w:t>
            </w:r>
          </w:p>
        </w:tc>
        <w:tc>
          <w:tcPr>
            <w:tcW w:w="2338" w:type="dxa"/>
            <w:tcBorders/>
          </w:tcPr>
          <w:p>
            <w:pPr>
              <w:pStyle w:val="Normal"/>
              <w:suppressAutoHyphens w:val="true"/>
              <w:spacing w:before="0" w:after="0"/>
              <w:jc w:val="center"/>
              <w:rPr>
                <w:rFonts w:ascii="Times New Roman" w:hAnsi="Times New Roman" w:cs="Times New Roman"/>
                <w:kern w:val="0"/>
                <w:lang w:bidi="ar-SA"/>
              </w:rPr>
            </w:pPr>
            <w:r>
              <w:rPr>
                <w:b/>
                <w:sz w:val="22"/>
              </w:rPr>
              <w:t>Atharva Namdeo Dhakne</w:t>
            </w:r>
          </w:p>
        </w:tc>
      </w:tr>
      <w:tr>
        <w:trPr>
          <w:trHeight w:val="1134" w:hRule="atLeast"/>
        </w:trPr>
        <w:tc>
          <w:tcPr>
            <w:tcW w:w="2337" w:type="dxa"/>
            <w:tcBorders/>
          </w:tcPr>
          <w:p>
            <w:pPr>
              <w:pStyle w:val="BodyText"/>
              <w:suppressAutoHyphens w:val="true"/>
              <w:spacing w:before="1" w:after="0"/>
              <w:jc w:val="center"/>
              <w:rPr>
                <w:sz w:val="24"/>
                <w:szCs w:val="24"/>
              </w:rPr>
            </w:pPr>
            <w:r>
              <w:rPr>
                <w:b w:val="0"/>
                <w:sz w:val="20"/>
              </w:rPr>
              <w:t>Signature:</w:t>
              <w:br/>
              <w:br/>
              <w:br/>
            </w:r>
          </w:p>
        </w:tc>
        <w:tc>
          <w:tcPr>
            <w:tcW w:w="2337" w:type="dxa"/>
            <w:tcBorders/>
          </w:tcPr>
          <w:p>
            <w:pPr>
              <w:pStyle w:val="BodyText"/>
              <w:suppressAutoHyphens w:val="true"/>
              <w:spacing w:before="1" w:after="0"/>
              <w:jc w:val="center"/>
              <w:rPr>
                <w:sz w:val="24"/>
                <w:szCs w:val="24"/>
              </w:rPr>
            </w:pPr>
            <w:r>
              <w:rPr>
                <w:b w:val="0"/>
                <w:sz w:val="20"/>
              </w:rPr>
              <w:t>Signature:</w:t>
              <w:br/>
              <w:br/>
              <w:br/>
            </w:r>
          </w:p>
        </w:tc>
        <w:tc>
          <w:tcPr>
            <w:tcW w:w="2338" w:type="dxa"/>
            <w:tcBorders/>
          </w:tcPr>
          <w:p>
            <w:pPr>
              <w:pStyle w:val="BodyText"/>
              <w:suppressAutoHyphens w:val="true"/>
              <w:spacing w:before="1" w:after="0"/>
              <w:jc w:val="center"/>
              <w:rPr>
                <w:sz w:val="24"/>
                <w:szCs w:val="24"/>
              </w:rPr>
            </w:pPr>
            <w:r>
              <w:rPr>
                <w:b w:val="0"/>
                <w:sz w:val="20"/>
              </w:rPr>
              <w:t>Signature:</w:t>
              <w:br/>
              <w:br/>
              <w:br/>
            </w:r>
          </w:p>
        </w:tc>
      </w:tr>
      <w:tr>
        <w:trPr/>
        <w:tc>
          <w:tcPr>
            <w:tcW w:w="2337" w:type="dxa"/>
            <w:tcBorders/>
          </w:tcPr>
          <w:p>
            <w:pPr>
              <w:pStyle w:val="Normal"/>
              <w:suppressAutoHyphens w:val="true"/>
              <w:spacing w:before="0" w:after="0"/>
              <w:jc w:val="center"/>
              <w:rPr>
                <w:rFonts w:ascii="Times New Roman" w:hAnsi="Times New Roman" w:cs="Times New Roman"/>
                <w:kern w:val="0"/>
                <w:lang w:bidi="ar-SA"/>
              </w:rPr>
            </w:pPr>
            <w:r>
              <w:rPr>
                <w:b w:val="0"/>
                <w:sz w:val="20"/>
              </w:rPr>
              <w:t>Date: ___________</w:t>
            </w:r>
          </w:p>
        </w:tc>
        <w:tc>
          <w:tcPr>
            <w:tcW w:w="2337" w:type="dxa"/>
            <w:tcBorders/>
          </w:tcPr>
          <w:p>
            <w:pPr>
              <w:pStyle w:val="Normal"/>
              <w:suppressAutoHyphens w:val="true"/>
              <w:spacing w:before="0" w:after="0"/>
              <w:jc w:val="center"/>
              <w:rPr>
                <w:rFonts w:ascii="Times New Roman" w:hAnsi="Times New Roman" w:cs="Times New Roman"/>
                <w:kern w:val="0"/>
                <w:lang w:bidi="ar-SA"/>
              </w:rPr>
            </w:pPr>
            <w:r>
              <w:rPr>
                <w:b w:val="0"/>
                <w:sz w:val="20"/>
              </w:rPr>
              <w:t>Date: ___________</w:t>
            </w:r>
          </w:p>
        </w:tc>
        <w:tc>
          <w:tcPr>
            <w:tcW w:w="2338" w:type="dxa"/>
            <w:tcBorders/>
          </w:tcPr>
          <w:p>
            <w:pPr>
              <w:pStyle w:val="Normal"/>
              <w:suppressAutoHyphens w:val="true"/>
              <w:spacing w:before="0" w:after="0"/>
              <w:jc w:val="center"/>
              <w:rPr>
                <w:rFonts w:ascii="Times New Roman" w:hAnsi="Times New Roman" w:cs="Times New Roman"/>
                <w:kern w:val="0"/>
                <w:lang w:bidi="ar-SA"/>
              </w:rPr>
            </w:pPr>
            <w:r>
              <w:rPr>
                <w:b w:val="0"/>
                <w:sz w:val="20"/>
              </w:rPr>
              <w:t>Date: ___________</w:t>
            </w:r>
          </w:p>
        </w:tc>
      </w:tr>
    </w:tbl>
    <w:p>
      <w:pPr>
        <w:pStyle w:val="BodyText"/>
        <w:spacing w:before="1" w:after="0"/>
        <w:jc w:val="both"/>
        <w:rPr>
          <w:sz w:val="24"/>
          <w:szCs w:val="24"/>
        </w:rPr>
      </w:pPr>
      <w:r>
        <w:rPr>
          <w:sz w:val="24"/>
          <w:szCs w:val="24"/>
        </w:rPr>
      </w:r>
    </w:p>
    <w:p>
      <w:pPr>
        <w:pStyle w:val="BodyText"/>
        <w:spacing w:before="1" w:after="0"/>
        <w:jc w:val="both"/>
        <w:rPr>
          <w:sz w:val="24"/>
          <w:szCs w:val="24"/>
        </w:rPr>
      </w:pPr>
      <w:r>
        <w:rPr>
          <w:sz w:val="24"/>
          <w:szCs w:val="24"/>
        </w:rPr>
      </w:r>
    </w:p>
    <w:p>
      <w:pPr>
        <w:pStyle w:val="ListParagraph"/>
        <w:numPr>
          <w:ilvl w:val="0"/>
          <w:numId w:val="1"/>
        </w:numPr>
        <w:tabs>
          <w:tab w:val="clear" w:pos="720"/>
          <w:tab w:val="left" w:pos="837" w:leader="none"/>
        </w:tabs>
        <w:ind w:hanging="0" w:start="0"/>
        <w:jc w:val="both"/>
        <w:rPr>
          <w:b/>
          <w:sz w:val="24"/>
          <w:szCs w:val="24"/>
        </w:rPr>
      </w:pPr>
      <w:r>
        <w:rPr>
          <w:b/>
          <w:sz w:val="24"/>
          <w:szCs w:val="24"/>
        </w:rPr>
        <w:t>Title</w:t>
      </w:r>
      <w:r>
        <w:rPr>
          <w:b/>
          <w:spacing w:val="-4"/>
          <w:sz w:val="24"/>
          <w:szCs w:val="24"/>
        </w:rPr>
        <w:t xml:space="preserve"> </w:t>
      </w:r>
      <w:r>
        <w:rPr>
          <w:b/>
          <w:sz w:val="24"/>
          <w:szCs w:val="24"/>
        </w:rPr>
        <w:t>of</w:t>
      </w:r>
      <w:r>
        <w:rPr>
          <w:b/>
          <w:spacing w:val="-1"/>
          <w:sz w:val="24"/>
          <w:szCs w:val="24"/>
        </w:rPr>
        <w:t xml:space="preserve"> </w:t>
      </w:r>
      <w:r>
        <w:rPr>
          <w:b/>
          <w:sz w:val="24"/>
          <w:szCs w:val="24"/>
        </w:rPr>
        <w:t>the</w:t>
      </w:r>
      <w:r>
        <w:rPr>
          <w:b/>
          <w:spacing w:val="-1"/>
          <w:sz w:val="24"/>
          <w:szCs w:val="24"/>
        </w:rPr>
        <w:t xml:space="preserve"> </w:t>
      </w:r>
      <w:r>
        <w:rPr>
          <w:b/>
          <w:sz w:val="24"/>
          <w:szCs w:val="24"/>
        </w:rPr>
        <w:t>invention:</w:t>
      </w:r>
    </w:p>
    <w:p>
      <w:pPr>
        <w:pStyle w:val="BodyText"/>
        <w:spacing w:lineRule="auto" w:line="276" w:before="0" w:after="160"/>
        <w:ind w:start="837"/>
        <w:jc w:val="both"/>
        <w:rPr/>
      </w:pPr>
      <w:r>
        <w:rPr>
          <w:b/>
          <w:sz w:val="24"/>
          <w:szCs w:val="24"/>
        </w:rPr>
        <w:t>Adaptive Confidence-Gated NIR–MIR Sensor Cascade with Predictive Failure Routing for Automated Plastic Waste Sorting</w:t>
      </w:r>
    </w:p>
    <w:p>
      <w:pPr>
        <w:pStyle w:val="BodyText"/>
        <w:spacing w:lineRule="auto" w:line="276" w:before="0" w:after="160"/>
        <w:ind w:start="837"/>
        <w:jc w:val="both"/>
        <w:rPr/>
      </w:pPr>
      <w:r>
        <w:rPr>
          <w:i/>
          <w:sz w:val="24"/>
          <w:szCs w:val="24"/>
        </w:rPr>
        <w:t>(17 words)</w:t>
      </w:r>
    </w:p>
    <w:p>
      <w:pPr>
        <w:pStyle w:val="ListParagraph"/>
        <w:numPr>
          <w:ilvl w:val="0"/>
          <w:numId w:val="1"/>
        </w:numPr>
        <w:tabs>
          <w:tab w:val="clear" w:pos="720"/>
          <w:tab w:val="left" w:pos="837" w:leader="none"/>
        </w:tabs>
        <w:spacing w:before="1" w:after="0"/>
        <w:ind w:hanging="0" w:start="0"/>
        <w:jc w:val="both"/>
        <w:rPr>
          <w:b/>
          <w:sz w:val="24"/>
          <w:szCs w:val="24"/>
        </w:rPr>
      </w:pPr>
      <w:r>
        <w:rPr>
          <w:b/>
          <w:sz w:val="24"/>
          <w:szCs w:val="24"/>
        </w:rPr>
        <w:t>Technical</w:t>
      </w:r>
      <w:r>
        <w:rPr>
          <w:b/>
          <w:spacing w:val="-2"/>
          <w:sz w:val="24"/>
          <w:szCs w:val="24"/>
        </w:rPr>
        <w:t xml:space="preserve"> </w:t>
      </w:r>
      <w:r>
        <w:rPr>
          <w:b/>
          <w:sz w:val="24"/>
          <w:szCs w:val="24"/>
        </w:rPr>
        <w:t>field</w:t>
      </w:r>
      <w:r>
        <w:rPr>
          <w:b/>
          <w:spacing w:val="-2"/>
          <w:sz w:val="24"/>
          <w:szCs w:val="24"/>
        </w:rPr>
        <w:t xml:space="preserve"> </w:t>
      </w:r>
      <w:r>
        <w:rPr>
          <w:b/>
          <w:sz w:val="24"/>
          <w:szCs w:val="24"/>
        </w:rPr>
        <w:t>of</w:t>
      </w:r>
      <w:r>
        <w:rPr>
          <w:b/>
          <w:spacing w:val="-5"/>
          <w:sz w:val="24"/>
          <w:szCs w:val="24"/>
        </w:rPr>
        <w:t xml:space="preserve"> </w:t>
      </w:r>
      <w:r>
        <w:rPr>
          <w:b/>
          <w:sz w:val="24"/>
          <w:szCs w:val="24"/>
        </w:rPr>
        <w:t>the</w:t>
      </w:r>
      <w:r>
        <w:rPr>
          <w:b/>
          <w:spacing w:val="-2"/>
          <w:sz w:val="24"/>
          <w:szCs w:val="24"/>
        </w:rPr>
        <w:t xml:space="preserve"> </w:t>
      </w:r>
      <w:r>
        <w:rPr>
          <w:b/>
          <w:sz w:val="24"/>
          <w:szCs w:val="24"/>
        </w:rPr>
        <w:t>invention:</w:t>
      </w:r>
    </w:p>
    <w:p>
      <w:pPr>
        <w:pStyle w:val="BodyText"/>
        <w:spacing w:lineRule="auto" w:line="276" w:before="0" w:after="160"/>
        <w:ind w:start="837"/>
        <w:jc w:val="both"/>
        <w:rPr/>
      </w:pPr>
      <w:r>
        <w:rPr>
          <w:sz w:val="24"/>
          <w:szCs w:val="24"/>
        </w:rPr>
        <w:t>The present invention relates to the field of automated waste management and recycling, specifically to intelligent multi-sensor material sorting systems. It intersects the disciplines of computer vision (deep learning-based object detection and classification), infrared spectroscopy (near-infrared and mid-infrared/Fourier-Transform Infrared sensing for polymer identification), machine learning (gradient-boosted decision trees for adaptive decision-making), robotics (automated conveyor-belt sorting with robotic manipulation), and embedded systems (edge computing for real-time industrial deployment). The invention addresses the specific sub-problem of energy-efficient, accuracy-preserving sensor cascade management in multi-modal waste sorting pipelines.</w:t>
      </w:r>
    </w:p>
    <w:p>
      <w:pPr>
        <w:pStyle w:val="ListParagraph"/>
        <w:numPr>
          <w:ilvl w:val="0"/>
          <w:numId w:val="1"/>
        </w:numPr>
        <w:tabs>
          <w:tab w:val="clear" w:pos="720"/>
          <w:tab w:val="left" w:pos="837" w:leader="none"/>
        </w:tabs>
        <w:spacing w:before="1" w:after="0"/>
        <w:ind w:hanging="0" w:start="0"/>
        <w:jc w:val="both"/>
        <w:rPr>
          <w:b/>
          <w:sz w:val="24"/>
          <w:szCs w:val="24"/>
        </w:rPr>
      </w:pPr>
      <w:r>
        <w:rPr>
          <w:b/>
          <w:sz w:val="24"/>
          <w:szCs w:val="24"/>
        </w:rPr>
        <w:t>Prior</w:t>
      </w:r>
      <w:r>
        <w:rPr>
          <w:b/>
          <w:spacing w:val="-1"/>
          <w:sz w:val="24"/>
          <w:szCs w:val="24"/>
        </w:rPr>
        <w:t xml:space="preserve"> </w:t>
      </w:r>
      <w:r>
        <w:rPr>
          <w:b/>
          <w:sz w:val="24"/>
          <w:szCs w:val="24"/>
        </w:rPr>
        <w:t>art:</w:t>
      </w:r>
    </w:p>
    <w:p>
      <w:pPr>
        <w:pStyle w:val="BodyText"/>
        <w:spacing w:lineRule="auto" w:line="276" w:before="0" w:after="160"/>
        <w:ind w:start="837"/>
        <w:jc w:val="both"/>
        <w:rPr/>
      </w:pPr>
      <w:r>
        <w:rPr>
          <w:b/>
          <w:sz w:val="24"/>
          <w:szCs w:val="24"/>
        </w:rPr>
        <w:t>5.1 Existing Technologies in the Field:</w:t>
      </w:r>
    </w:p>
    <w:p>
      <w:pPr>
        <w:pStyle w:val="BodyText"/>
        <w:spacing w:lineRule="auto" w:line="276" w:before="0" w:after="160"/>
        <w:ind w:start="837"/>
        <w:jc w:val="both"/>
        <w:rPr/>
      </w:pPr>
      <w:r>
        <w:rPr>
          <w:sz w:val="24"/>
          <w:szCs w:val="24"/>
        </w:rPr>
        <w:t>The field of automated waste sorting has seen significant development across several modalities:</w:t>
      </w:r>
    </w:p>
    <w:p>
      <w:pPr>
        <w:pStyle w:val="BodyText"/>
        <w:spacing w:lineRule="auto" w:line="276" w:before="0" w:after="160"/>
        <w:ind w:start="837"/>
        <w:jc w:val="both"/>
        <w:rPr/>
      </w:pPr>
      <w:r>
        <w:rPr>
          <w:b/>
          <w:sz w:val="24"/>
          <w:szCs w:val="24"/>
        </w:rPr>
        <w:t xml:space="preserve">• </w:t>
      </w:r>
      <w:r>
        <w:rPr>
          <w:b/>
          <w:sz w:val="24"/>
          <w:szCs w:val="24"/>
        </w:rPr>
        <w:t xml:space="preserve">Vision-Based Sorting Systems: </w:t>
      </w:r>
      <w:r>
        <w:rPr>
          <w:sz w:val="24"/>
          <w:szCs w:val="24"/>
        </w:rPr>
        <w:t>Existing systems employ deep learning models (e.g., YOLO, ResNet, EfficientNet) to classify waste items based on RGB camera imagery. While effective for macro-category classification (e.g., plastic vs. metal vs. paper), these systems cannot determine the specific polymer resin type of plastic items, which is essential for effective recycling. Vision-only systems achieve classification accuracy in the range of 85–95% for macro-categories but fail entirely at polymer-level identification.</w:t>
      </w:r>
    </w:p>
    <w:p>
      <w:pPr>
        <w:pStyle w:val="BodyText"/>
        <w:spacing w:lineRule="auto" w:line="276" w:before="0" w:after="160"/>
        <w:ind w:start="837"/>
        <w:jc w:val="both"/>
        <w:rPr/>
      </w:pPr>
      <w:r>
        <w:rPr>
          <w:b/>
          <w:sz w:val="24"/>
          <w:szCs w:val="24"/>
        </w:rPr>
        <w:t xml:space="preserve">• </w:t>
      </w:r>
      <w:r>
        <w:rPr>
          <w:b/>
          <w:sz w:val="24"/>
          <w:szCs w:val="24"/>
        </w:rPr>
        <w:t xml:space="preserve">NIR Spectroscopic Sorting: </w:t>
      </w:r>
      <w:r>
        <w:rPr>
          <w:sz w:val="24"/>
          <w:szCs w:val="24"/>
        </w:rPr>
        <w:t>Near-Infrared (NIR) spectroscopy (900–1700 nm wavelength range) is widely used in industrial plastic sorting. NIR spectrometers capture absorption spectra characteristic of different polymer molecular bonds, enabling identification of polymer types such as PET, HDPE, PP, etc. However, NIR has a well-documented critical limitation: carbon-black-doped and heavily pigmented plastics absorb nearly all near-infrared radiation, producing flat, uninformative spectra. This affects approximately 15–25% of post-consumer plastic waste streams.</w:t>
      </w:r>
    </w:p>
    <w:p>
      <w:pPr>
        <w:pStyle w:val="BodyText"/>
        <w:spacing w:lineRule="auto" w:line="276" w:before="0" w:after="160"/>
        <w:ind w:start="837"/>
        <w:jc w:val="both"/>
        <w:rPr/>
      </w:pPr>
      <w:r>
        <w:rPr>
          <w:b/>
          <w:sz w:val="24"/>
          <w:szCs w:val="24"/>
        </w:rPr>
        <w:t xml:space="preserve">• </w:t>
      </w:r>
      <w:r>
        <w:rPr>
          <w:b/>
          <w:sz w:val="24"/>
          <w:szCs w:val="24"/>
        </w:rPr>
        <w:t xml:space="preserve">MIR/FTIR Spectroscopic Sorting: </w:t>
      </w:r>
      <w:r>
        <w:rPr>
          <w:sz w:val="24"/>
          <w:szCs w:val="24"/>
        </w:rPr>
        <w:t>Mid-Infrared (MIR) sensing using Fourier-Transform Infrared (FTIR) spectroscopy (2.5–25 μm wavelength range) operates in the fundamental molecular vibration region and can identify even carbon-black-doped polymers. However, MIR/FTIR systems are significantly more expensive (3–5× the energy cost per scan), slower (additional 0.5–1.0 second delay per item), and require closer sample proximity than NIR systems.</w:t>
      </w:r>
    </w:p>
    <w:p>
      <w:pPr>
        <w:pStyle w:val="BodyText"/>
        <w:spacing w:lineRule="auto" w:line="276" w:before="0" w:after="160"/>
        <w:ind w:start="837"/>
        <w:jc w:val="both"/>
        <w:rPr/>
      </w:pPr>
      <w:r>
        <w:rPr>
          <w:b/>
          <w:sz w:val="24"/>
          <w:szCs w:val="24"/>
        </w:rPr>
        <w:t xml:space="preserve">• </w:t>
      </w:r>
      <w:r>
        <w:rPr>
          <w:b/>
          <w:sz w:val="24"/>
          <w:szCs w:val="24"/>
        </w:rPr>
        <w:t xml:space="preserve">Fixed-Threshold Dual-Sensor Systems: </w:t>
      </w:r>
      <w:r>
        <w:rPr>
          <w:sz w:val="24"/>
          <w:szCs w:val="24"/>
        </w:rPr>
        <w:t>Some prior systems combine NIR and MIR sensors in a cascade, using a fixed confidence threshold (typically 80–85%) to decide when to escalate from the faster NIR to the more expensive MIR. For example, if the NIR classifier confidence falls below 0.85, the MIR sensor is activated. This approach is static and does not account for varying environmental conditions (ambient lighting, sensor temperature, humidity), material characteristics (object darkness, surface roughness, size), or system operational state.</w:t>
      </w:r>
    </w:p>
    <w:p>
      <w:pPr>
        <w:pStyle w:val="BodyText"/>
        <w:spacing w:lineRule="auto" w:line="276" w:before="0" w:after="160"/>
        <w:ind w:start="837"/>
        <w:jc w:val="both"/>
        <w:rPr/>
      </w:pPr>
      <w:r>
        <w:rPr>
          <w:b/>
          <w:sz w:val="24"/>
          <w:szCs w:val="24"/>
        </w:rPr>
        <w:t xml:space="preserve">• </w:t>
      </w:r>
      <w:r>
        <w:rPr>
          <w:b/>
          <w:sz w:val="24"/>
          <w:szCs w:val="24"/>
        </w:rPr>
        <w:t xml:space="preserve">Multi-Sensor Fusion Patents: </w:t>
      </w:r>
      <w:r>
        <w:rPr>
          <w:sz w:val="24"/>
          <w:szCs w:val="24"/>
        </w:rPr>
        <w:t>Existing patents in the field include density/height-profile-based automatic separators and narrow-band electromagnetic sorting systems. These patents address sensor combination but do not teach or suggest an adaptive, learned decision mechanism for sensor cascade management.</w:t>
      </w:r>
    </w:p>
    <w:p>
      <w:pPr>
        <w:pStyle w:val="BodyText"/>
        <w:spacing w:lineRule="auto" w:line="276" w:before="0" w:after="160"/>
        <w:ind w:start="837"/>
        <w:jc w:val="both"/>
        <w:rPr/>
      </w:pPr>
      <w:r>
        <w:rPr>
          <w:b/>
          <w:sz w:val="24"/>
          <w:szCs w:val="24"/>
        </w:rPr>
        <w:br/>
        <w:t>5.2 Disadvantages of Existing Technology Overcome by this Invention:</w:t>
      </w:r>
    </w:p>
    <w:p>
      <w:pPr>
        <w:pStyle w:val="BodyText"/>
        <w:spacing w:lineRule="auto" w:line="276" w:before="0" w:after="160"/>
        <w:ind w:start="837"/>
        <w:jc w:val="both"/>
        <w:rPr/>
      </w:pPr>
      <w:r>
        <w:rPr>
          <w:b/>
          <w:sz w:val="24"/>
          <w:szCs w:val="24"/>
        </w:rPr>
        <w:t xml:space="preserve">1. </w:t>
      </w:r>
      <w:r>
        <w:rPr>
          <w:sz w:val="24"/>
          <w:szCs w:val="24"/>
        </w:rPr>
        <w:t>Fixed confidence thresholds cannot adapt to varying environmental conditions (lighting changes, temperature drift, humidity variations), causing either excessive false escalations (wasting energy and reducing throughput) or missed escalations (reducing sorting accuracy).</w:t>
      </w:r>
    </w:p>
    <w:p>
      <w:pPr>
        <w:pStyle w:val="BodyText"/>
        <w:spacing w:lineRule="auto" w:line="276" w:before="0" w:after="160"/>
        <w:ind w:start="837"/>
        <w:jc w:val="both"/>
        <w:rPr/>
      </w:pPr>
      <w:r>
        <w:rPr>
          <w:b/>
          <w:sz w:val="24"/>
          <w:szCs w:val="24"/>
        </w:rPr>
        <w:t xml:space="preserve">2. </w:t>
      </w:r>
      <w:r>
        <w:rPr>
          <w:sz w:val="24"/>
          <w:szCs w:val="24"/>
        </w:rPr>
        <w:t>Existing dual-sensor systems treat every item identically regardless of its visual appearance, spectral characteristics, or the recent operational history of the system.</w:t>
      </w:r>
    </w:p>
    <w:p>
      <w:pPr>
        <w:pStyle w:val="BodyText"/>
        <w:spacing w:lineRule="auto" w:line="276" w:before="0" w:after="160"/>
        <w:ind w:start="837"/>
        <w:jc w:val="both"/>
        <w:rPr/>
      </w:pPr>
      <w:r>
        <w:rPr>
          <w:b/>
          <w:sz w:val="24"/>
          <w:szCs w:val="24"/>
        </w:rPr>
        <w:t xml:space="preserve">3. </w:t>
      </w:r>
      <w:r>
        <w:rPr>
          <w:sz w:val="24"/>
          <w:szCs w:val="24"/>
        </w:rPr>
        <w:t>The inventors have not identified, in the prior art reviewed to date, a system that incorporates a closed-loop feedback mechanism that continuously improves the escalation decision based on accumulated operational data.</w:t>
      </w:r>
    </w:p>
    <w:p>
      <w:pPr>
        <w:pStyle w:val="BodyText"/>
        <w:spacing w:lineRule="auto" w:line="276" w:before="0" w:after="160"/>
        <w:ind w:start="837"/>
        <w:jc w:val="both"/>
        <w:rPr/>
      </w:pPr>
      <w:r>
        <w:rPr>
          <w:b/>
          <w:sz w:val="24"/>
          <w:szCs w:val="24"/>
        </w:rPr>
        <w:t xml:space="preserve">4. </w:t>
      </w:r>
      <w:r>
        <w:rPr>
          <w:sz w:val="24"/>
          <w:szCs w:val="24"/>
        </w:rPr>
        <w:t>The inventors have not identified, in the prior art reviewed to date, a system that proactively predicts NIR failure before engaging the NIR sensor, resulting in wasted scanning time for items that will inevitably require MIR analysis.</w:t>
      </w:r>
    </w:p>
    <w:p>
      <w:pPr>
        <w:pStyle w:val="ListParagraph"/>
        <w:numPr>
          <w:ilvl w:val="0"/>
          <w:numId w:val="1"/>
        </w:numPr>
        <w:tabs>
          <w:tab w:val="clear" w:pos="720"/>
          <w:tab w:val="left" w:pos="347" w:leader="none"/>
        </w:tabs>
        <w:ind w:hanging="0" w:start="0"/>
        <w:jc w:val="both"/>
        <w:rPr>
          <w:b/>
          <w:spacing w:val="-2"/>
          <w:sz w:val="24"/>
          <w:szCs w:val="24"/>
        </w:rPr>
      </w:pPr>
      <w:r>
        <w:rPr>
          <w:b/>
          <w:sz w:val="24"/>
          <w:szCs w:val="24"/>
        </w:rPr>
        <w:tab/>
        <w:t>Objective(s) of Invention:</w:t>
      </w:r>
    </w:p>
    <w:p>
      <w:pPr>
        <w:pStyle w:val="ListParagraph"/>
        <w:spacing w:lineRule="auto" w:line="276" w:before="0" w:after="160"/>
        <w:ind w:hanging="361" w:start="837"/>
        <w:jc w:val="both"/>
        <w:rPr/>
      </w:pPr>
      <w:r>
        <w:rPr>
          <w:b/>
          <w:sz w:val="24"/>
          <w:szCs w:val="24"/>
        </w:rPr>
        <w:t xml:space="preserve">1. </w:t>
      </w:r>
      <w:r>
        <w:rPr>
          <w:sz w:val="24"/>
          <w:szCs w:val="24"/>
        </w:rPr>
        <w:t>To provide an automated plastic waste sorting system with an Adaptive Confidence Engine (ACE) that dynamically computes per-item escalation thresholds for sensor cascade decisions, replacing static confidence cutoffs.</w:t>
      </w:r>
    </w:p>
    <w:p>
      <w:pPr>
        <w:pStyle w:val="ListParagraph"/>
        <w:spacing w:lineRule="auto" w:line="276" w:before="0" w:after="160"/>
        <w:ind w:hanging="361" w:start="837"/>
        <w:jc w:val="both"/>
        <w:rPr/>
      </w:pPr>
      <w:r>
        <w:rPr>
          <w:b/>
          <w:sz w:val="24"/>
          <w:szCs w:val="24"/>
        </w:rPr>
        <w:t xml:space="preserve">2. </w:t>
      </w:r>
      <w:r>
        <w:rPr>
          <w:sz w:val="24"/>
          <w:szCs w:val="24"/>
        </w:rPr>
        <w:t>To achieve a measurable reduction in unnecessary secondary sensor (MIR/FTIR) activations — demonstrated as a reduction from 69.22% (fixed threshold) to 37.62% (ACE), a reduction of 31.60 percentage points (N=5,000 synthetic test samples) — while maintaining 100% classification accuracy on the evaluated laboratory test datasets (note: field performance may vary), thereby reducing energy consumption by 45.6% and improving throughput by 4.5%.</w:t>
      </w:r>
    </w:p>
    <w:p>
      <w:pPr>
        <w:pStyle w:val="ListParagraph"/>
        <w:spacing w:lineRule="auto" w:line="276" w:before="0" w:after="160"/>
        <w:ind w:hanging="361" w:start="837"/>
        <w:jc w:val="both"/>
        <w:rPr/>
      </w:pPr>
      <w:r>
        <w:rPr>
          <w:b/>
          <w:sz w:val="24"/>
          <w:szCs w:val="24"/>
        </w:rPr>
        <w:t xml:space="preserve">3. </w:t>
      </w:r>
      <w:r>
        <w:rPr>
          <w:sz w:val="24"/>
          <w:szCs w:val="24"/>
        </w:rPr>
        <w:t>To provide a multi-dimensional context vector comprising 17 features spanning spectral (NIR confidence, confidence margin, reflectance mean/variance, spectral entropy), visual (object hue, brightness, size, aspect ratio), environmental (ambient light, temperature, humidity, conveyor speed, camera noise, sensor drift), and system-state (predicted polymer class, recent MIR activation rate) signals for comprehensive decision-making.</w:t>
      </w:r>
    </w:p>
    <w:p>
      <w:pPr>
        <w:pStyle w:val="ListParagraph"/>
        <w:spacing w:lineRule="auto" w:line="276" w:before="0" w:after="160"/>
        <w:ind w:hanging="361" w:start="837"/>
        <w:jc w:val="both"/>
        <w:rPr/>
      </w:pPr>
      <w:r>
        <w:rPr>
          <w:b/>
          <w:sz w:val="24"/>
          <w:szCs w:val="24"/>
        </w:rPr>
        <w:t xml:space="preserve">4. </w:t>
      </w:r>
      <w:r>
        <w:rPr>
          <w:sz w:val="24"/>
          <w:szCs w:val="24"/>
        </w:rPr>
        <w:t>To provide a proactive Expected Failure Predictor (EFP) module that predicts NIR sensor failure before engaging the NIR scanner, enabling direct routing to MIR for items likely to produce uninformative NIR spectra based on vision-derived and environmental features, as well as a fast early-exit bypass during NIR acquisition for items like carbon-black-doped plastics with mean reflectance &lt; 0.08.</w:t>
      </w:r>
    </w:p>
    <w:p>
      <w:pPr>
        <w:pStyle w:val="ListParagraph"/>
        <w:spacing w:lineRule="auto" w:line="276" w:before="0" w:after="160"/>
        <w:ind w:hanging="361" w:start="837"/>
        <w:jc w:val="both"/>
        <w:rPr/>
      </w:pPr>
      <w:r>
        <w:rPr>
          <w:b/>
          <w:sz w:val="24"/>
          <w:szCs w:val="24"/>
        </w:rPr>
        <w:t xml:space="preserve">5. </w:t>
      </w:r>
      <w:r>
        <w:rPr>
          <w:sz w:val="24"/>
          <w:szCs w:val="24"/>
        </w:rPr>
        <w:t>To provide a closed-loop feedback database that continuously records prediction outcomes and enables periodic retraining of the ACE model, creating a self-improving sorting system.</w:t>
      </w:r>
    </w:p>
    <w:p>
      <w:pPr>
        <w:pStyle w:val="ListParagraph"/>
        <w:spacing w:lineRule="auto" w:line="276" w:before="0" w:after="160"/>
        <w:ind w:hanging="361" w:start="837"/>
        <w:jc w:val="both"/>
        <w:rPr/>
      </w:pPr>
      <w:r>
        <w:rPr>
          <w:b/>
          <w:sz w:val="24"/>
          <w:szCs w:val="24"/>
        </w:rPr>
        <w:t xml:space="preserve">6. </w:t>
      </w:r>
      <w:r>
        <w:rPr>
          <w:sz w:val="24"/>
          <w:szCs w:val="24"/>
        </w:rPr>
        <w:t>To provide a Material Processing Record for every processed item, recording the complete sensor routing, confidence scores, uncertainty metrics, and classification outcomes for traceability and quality control.</w:t>
      </w:r>
    </w:p>
    <w:p>
      <w:pPr>
        <w:pStyle w:val="ListParagraph"/>
        <w:numPr>
          <w:ilvl w:val="0"/>
          <w:numId w:val="1"/>
        </w:numPr>
        <w:tabs>
          <w:tab w:val="clear" w:pos="720"/>
          <w:tab w:val="left" w:pos="347" w:leader="none"/>
        </w:tabs>
        <w:ind w:hanging="0" w:start="0"/>
        <w:jc w:val="both"/>
        <w:rPr>
          <w:b/>
          <w:sz w:val="24"/>
          <w:szCs w:val="24"/>
        </w:rPr>
      </w:pPr>
      <w:r>
        <w:rPr>
          <w:b/>
          <w:sz w:val="24"/>
          <w:szCs w:val="24"/>
        </w:rPr>
        <w:tab/>
        <w:t xml:space="preserve">Synopsis: </w:t>
      </w:r>
    </w:p>
    <w:p>
      <w:pPr>
        <w:pStyle w:val="ListParagraph"/>
        <w:spacing w:lineRule="auto" w:line="276" w:before="0" w:after="160"/>
        <w:ind w:hanging="361" w:start="837"/>
        <w:jc w:val="both"/>
        <w:rPr/>
      </w:pPr>
      <w:r>
        <w:rPr>
          <w:sz w:val="24"/>
          <w:szCs w:val="24"/>
        </w:rPr>
        <w:t>The present invention discloses an automated plastic waste sorting apparatus and method incorporating a novel Adaptive Confidence Engine (ACE) for intelligent sensor cascade management. The apparatus comprises a linear conveyor mechanism transporting waste articles through sequential processing stations: (a) a machine vision subsystem employing a YOLOv11s deep neural network for real-time object detection and macro-classification into six categories (biodegradable, cardboard, glass, metal, paper, plastic); (b) a first robotic manipulator for diverting non-plastic articles into designated collection receptacles; (c) a primary near-infrared (NIR) spectral sensing module operating in the 400–1700 nm range (prototype: Specim FX10, 400–1000 nm) with a Support Vector Machine classifier achieving 97.12% polymer identification accuracy on 232-band spectra; (d) an Adaptive Confidence Engine processor comprising an XGBoost gradient-boosted decision tree model that receives a 17-dimensional context vector spanning spectral, visual, environmental, and system-state features, and outputs a per-item adaptive escalation threshold according to the formula T = 0.70 + 0.25 × P(MIR_needed), where P(MIR_needed) is the predicted probability that the secondary sensor is required; (e) a secondary mid-infrared (MIR) FTIR spectral sensing module operating in the 2.5–25 μm range with a Random Forest classifier achieving 100% accuracy on laboratory-grade spectra, selectively activated only when the ACE determines that the primary NIR classification is unreliable; (f) a polymer sorting mechanism with pneumatic diverter gates for six polymer types (PET, HDPE, PVC, LDPE, PP, PS); and (g) a feedback database module recording every prediction outcome for continuous model refinement. The system additionally includes an Expected Failure Predictor (EFP) that proactively identifies items likely to produce uninformative NIR spectra (e.g., carbon-black-doped plastics) and routes them directly to MIR, bypassing the NIR stage entirely. Experimental evaluation demonstrates that the ACE reduces unnecessary MIR activations by 31.60 percentage points compared to a fixed 0.85 confidence threshold (from 69.22% to 37.62%). Energy is computed as a proxy: each MIR activation is assigned a cost weight of 3.0× relative to NIR-only processing. Fixed threshold energy proxy: 10,383 units; ACE energy proxy: 5,643 units; reduction: 45.6%. This proxy model reflects the approximately 3× higher energy consumption of MIR/FTIR scanning relative to NIR. Throughput improved from 16.31 items/min (fixed threshold) to 17.04 items/min (ACE), an improvement of 4.5%, computed under the assumption that each MIR activation adds a 0.5-second delay to the per-item processing time (Throughput = 60 / (base_time + MIR_rate × 0.5)). These improvements were achieved while maintaining 100% classification accuracy on the evaluated laboratory test datasets (note: field performance may vary).</w:t>
      </w:r>
    </w:p>
    <w:p>
      <w:pPr>
        <w:pStyle w:val="ListParagraph"/>
        <w:numPr>
          <w:ilvl w:val="0"/>
          <w:numId w:val="1"/>
        </w:numPr>
        <w:tabs>
          <w:tab w:val="clear" w:pos="720"/>
          <w:tab w:val="left" w:pos="347" w:leader="none"/>
        </w:tabs>
        <w:ind w:hanging="0" w:start="0"/>
        <w:jc w:val="both"/>
        <w:rPr>
          <w:b/>
          <w:sz w:val="24"/>
          <w:szCs w:val="24"/>
        </w:rPr>
      </w:pPr>
      <w:r>
        <w:rPr>
          <w:b/>
          <w:sz w:val="24"/>
          <w:szCs w:val="24"/>
        </w:rPr>
        <w:tab/>
        <w:t>Brief</w:t>
      </w:r>
      <w:r>
        <w:rPr>
          <w:b/>
          <w:spacing w:val="-4"/>
          <w:sz w:val="24"/>
          <w:szCs w:val="24"/>
        </w:rPr>
        <w:t xml:space="preserve"> </w:t>
      </w:r>
      <w:r>
        <w:rPr>
          <w:b/>
          <w:sz w:val="24"/>
          <w:szCs w:val="24"/>
        </w:rPr>
        <w:t>description</w:t>
      </w:r>
      <w:r>
        <w:rPr>
          <w:b/>
          <w:spacing w:val="-3"/>
          <w:sz w:val="24"/>
          <w:szCs w:val="24"/>
        </w:rPr>
        <w:t xml:space="preserve"> </w:t>
      </w:r>
      <w:r>
        <w:rPr>
          <w:b/>
          <w:sz w:val="24"/>
          <w:szCs w:val="24"/>
        </w:rPr>
        <w:t>of</w:t>
      </w:r>
      <w:r>
        <w:rPr>
          <w:b/>
          <w:spacing w:val="-4"/>
          <w:sz w:val="24"/>
          <w:szCs w:val="24"/>
        </w:rPr>
        <w:t xml:space="preserve"> </w:t>
      </w:r>
      <w:r>
        <w:rPr>
          <w:b/>
          <w:sz w:val="24"/>
          <w:szCs w:val="24"/>
        </w:rPr>
        <w:t>drawings</w:t>
      </w:r>
      <w:r>
        <w:rPr>
          <w:b/>
          <w:spacing w:val="-1"/>
          <w:sz w:val="24"/>
          <w:szCs w:val="24"/>
        </w:rPr>
        <w:t xml:space="preserve"> </w:t>
      </w:r>
      <w:r>
        <w:rPr>
          <w:b/>
          <w:sz w:val="24"/>
          <w:szCs w:val="24"/>
        </w:rPr>
        <w:t>(if</w:t>
      </w:r>
      <w:r>
        <w:rPr>
          <w:b/>
          <w:spacing w:val="-3"/>
          <w:sz w:val="24"/>
          <w:szCs w:val="24"/>
        </w:rPr>
        <w:t xml:space="preserve"> </w:t>
      </w:r>
      <w:r>
        <w:rPr>
          <w:b/>
          <w:sz w:val="24"/>
          <w:szCs w:val="24"/>
        </w:rPr>
        <w:t>any):</w:t>
      </w:r>
    </w:p>
    <w:p>
      <w:pPr>
        <w:pStyle w:val="BodyText"/>
        <w:spacing w:lineRule="auto" w:line="276" w:before="0" w:after="160"/>
        <w:ind w:start="837"/>
        <w:jc w:val="both"/>
        <w:rPr/>
      </w:pPr>
      <w:r>
        <w:rPr>
          <w:sz w:val="24"/>
          <w:szCs w:val="24"/>
        </w:rPr>
        <w:t>Figure 1 illustrates the complete hardware and system architecture of the proposed invention. The drawing uses only numerical reference labels as described below:</w:t>
      </w:r>
    </w:p>
    <w:p>
      <w:pPr>
        <w:pStyle w:val="BodyText"/>
        <w:spacing w:lineRule="auto" w:line="276" w:before="0" w:after="160"/>
        <w:ind w:start="837"/>
        <w:jc w:val="both"/>
        <w:rPr/>
      </w:pPr>
      <w:r>
        <w:rPr>
          <w:b/>
          <w:sz w:val="24"/>
          <w:szCs w:val="24"/>
        </w:rPr>
        <w:t>10</w:t>
      </w:r>
      <w:r>
        <w:rPr>
          <w:sz w:val="24"/>
          <w:szCs w:val="24"/>
        </w:rPr>
        <w:t xml:space="preserve"> denotes Linear conveyor mechanism for transporting waste articles from intake to sorting stations</w:t>
      </w:r>
    </w:p>
    <w:p>
      <w:pPr>
        <w:pStyle w:val="BodyText"/>
        <w:spacing w:lineRule="auto" w:line="276" w:before="0" w:after="160"/>
        <w:ind w:start="837"/>
        <w:jc w:val="both"/>
        <w:rPr/>
      </w:pPr>
      <w:r>
        <w:rPr>
          <w:b/>
          <w:sz w:val="24"/>
          <w:szCs w:val="24"/>
        </w:rPr>
        <w:t>12</w:t>
      </w:r>
      <w:r>
        <w:rPr>
          <w:sz w:val="24"/>
          <w:szCs w:val="24"/>
        </w:rPr>
        <w:t xml:space="preserve"> denotes Input hopper receiving mixed municipal solid waste</w:t>
      </w:r>
    </w:p>
    <w:p>
      <w:pPr>
        <w:pStyle w:val="BodyText"/>
        <w:spacing w:lineRule="auto" w:line="276" w:before="0" w:after="160"/>
        <w:ind w:start="837"/>
        <w:jc w:val="both"/>
        <w:rPr/>
      </w:pPr>
      <w:r>
        <w:rPr>
          <w:b/>
          <w:sz w:val="24"/>
          <w:szCs w:val="24"/>
        </w:rPr>
        <w:t>20</w:t>
      </w:r>
      <w:r>
        <w:rPr>
          <w:sz w:val="24"/>
          <w:szCs w:val="24"/>
        </w:rPr>
        <w:t xml:space="preserve"> denotes Machine vision subsystem comprising the RGB image sensor and support gantry</w:t>
      </w:r>
    </w:p>
    <w:p>
      <w:pPr>
        <w:pStyle w:val="BodyText"/>
        <w:spacing w:lineRule="auto" w:line="276" w:before="0" w:after="160"/>
        <w:ind w:start="837"/>
        <w:jc w:val="both"/>
        <w:rPr/>
      </w:pPr>
      <w:r>
        <w:rPr>
          <w:b/>
          <w:sz w:val="24"/>
          <w:szCs w:val="24"/>
        </w:rPr>
        <w:t>22</w:t>
      </w:r>
      <w:r>
        <w:rPr>
          <w:sz w:val="24"/>
          <w:szCs w:val="24"/>
        </w:rPr>
        <w:t xml:space="preserve"> denotes RGB image sensor (camera) mounted on the support frame for object detection</w:t>
      </w:r>
    </w:p>
    <w:p>
      <w:pPr>
        <w:pStyle w:val="BodyText"/>
        <w:spacing w:lineRule="auto" w:line="276" w:before="0" w:after="160"/>
        <w:ind w:start="837"/>
        <w:jc w:val="both"/>
        <w:rPr/>
      </w:pPr>
      <w:r>
        <w:rPr>
          <w:b/>
          <w:sz w:val="24"/>
          <w:szCs w:val="24"/>
        </w:rPr>
        <w:t>24</w:t>
      </w:r>
      <w:r>
        <w:rPr>
          <w:sz w:val="24"/>
          <w:szCs w:val="24"/>
        </w:rPr>
        <w:t xml:space="preserve"> denotes Support frame (gantry) holding the vision and spectral sensing components above the conveyor</w:t>
      </w:r>
    </w:p>
    <w:p>
      <w:pPr>
        <w:pStyle w:val="BodyText"/>
        <w:spacing w:lineRule="auto" w:line="276" w:before="0" w:after="160"/>
        <w:ind w:start="837"/>
        <w:jc w:val="both"/>
        <w:rPr/>
      </w:pPr>
      <w:r>
        <w:rPr>
          <w:b/>
          <w:sz w:val="24"/>
          <w:szCs w:val="24"/>
        </w:rPr>
        <w:t>30</w:t>
      </w:r>
      <w:r>
        <w:rPr>
          <w:sz w:val="24"/>
          <w:szCs w:val="24"/>
        </w:rPr>
        <w:t xml:space="preserve"> denotes First robotic manipulator for non-plastic article diversion</w:t>
      </w:r>
    </w:p>
    <w:p>
      <w:pPr>
        <w:pStyle w:val="BodyText"/>
        <w:spacing w:lineRule="auto" w:line="276" w:before="0" w:after="160"/>
        <w:ind w:start="837"/>
        <w:jc w:val="both"/>
        <w:rPr/>
      </w:pPr>
      <w:r>
        <w:rPr>
          <w:b/>
          <w:sz w:val="24"/>
          <w:szCs w:val="24"/>
        </w:rPr>
        <w:t>32</w:t>
      </w:r>
      <w:r>
        <w:rPr>
          <w:sz w:val="24"/>
          <w:szCs w:val="24"/>
        </w:rPr>
        <w:t xml:space="preserve"> denotes End effector (suction gripper) of the first robotic manipulator</w:t>
      </w:r>
    </w:p>
    <w:p>
      <w:pPr>
        <w:pStyle w:val="BodyText"/>
        <w:spacing w:lineRule="auto" w:line="276" w:before="0" w:after="160"/>
        <w:ind w:start="837"/>
        <w:jc w:val="both"/>
        <w:rPr/>
      </w:pPr>
      <w:r>
        <w:rPr>
          <w:b/>
          <w:sz w:val="24"/>
          <w:szCs w:val="24"/>
        </w:rPr>
        <w:t>34a</w:t>
      </w:r>
      <w:r>
        <w:rPr>
          <w:sz w:val="24"/>
          <w:szCs w:val="24"/>
        </w:rPr>
        <w:t xml:space="preserve"> denotes Metal collection receptacle</w:t>
      </w:r>
    </w:p>
    <w:p>
      <w:pPr>
        <w:pStyle w:val="BodyText"/>
        <w:spacing w:lineRule="auto" w:line="276" w:before="0" w:after="160"/>
        <w:ind w:start="837"/>
        <w:jc w:val="both"/>
        <w:rPr/>
      </w:pPr>
      <w:r>
        <w:rPr>
          <w:b/>
          <w:sz w:val="24"/>
          <w:szCs w:val="24"/>
        </w:rPr>
        <w:t>34b</w:t>
      </w:r>
      <w:r>
        <w:rPr>
          <w:sz w:val="24"/>
          <w:szCs w:val="24"/>
        </w:rPr>
        <w:t xml:space="preserve"> denotes Paper collection receptacle</w:t>
      </w:r>
    </w:p>
    <w:p>
      <w:pPr>
        <w:pStyle w:val="BodyText"/>
        <w:spacing w:lineRule="auto" w:line="276" w:before="0" w:after="160"/>
        <w:ind w:start="837"/>
        <w:jc w:val="both"/>
        <w:rPr/>
      </w:pPr>
      <w:r>
        <w:rPr>
          <w:b/>
          <w:sz w:val="24"/>
          <w:szCs w:val="24"/>
        </w:rPr>
        <w:t>34c</w:t>
      </w:r>
      <w:r>
        <w:rPr>
          <w:sz w:val="24"/>
          <w:szCs w:val="24"/>
        </w:rPr>
        <w:t xml:space="preserve"> denotes Glass collection receptacle</w:t>
      </w:r>
    </w:p>
    <w:p>
      <w:pPr>
        <w:pStyle w:val="BodyText"/>
        <w:spacing w:lineRule="auto" w:line="276" w:before="0" w:after="160"/>
        <w:ind w:start="837"/>
        <w:jc w:val="both"/>
        <w:rPr/>
      </w:pPr>
      <w:r>
        <w:rPr>
          <w:b/>
          <w:sz w:val="24"/>
          <w:szCs w:val="24"/>
        </w:rPr>
        <w:t>34d</w:t>
      </w:r>
      <w:r>
        <w:rPr>
          <w:sz w:val="24"/>
          <w:szCs w:val="24"/>
        </w:rPr>
        <w:t xml:space="preserve"> denotes Organic waste collection receptacle</w:t>
      </w:r>
    </w:p>
    <w:p>
      <w:pPr>
        <w:pStyle w:val="BodyText"/>
        <w:spacing w:lineRule="auto" w:line="276" w:before="0" w:after="160"/>
        <w:ind w:start="837"/>
        <w:jc w:val="both"/>
        <w:rPr/>
      </w:pPr>
      <w:r>
        <w:rPr>
          <w:b/>
          <w:sz w:val="24"/>
          <w:szCs w:val="24"/>
        </w:rPr>
        <w:t>34e</w:t>
      </w:r>
      <w:r>
        <w:rPr>
          <w:sz w:val="24"/>
          <w:szCs w:val="24"/>
        </w:rPr>
        <w:t xml:space="preserve"> denotes Other/miscellaneous waste collection receptacle</w:t>
      </w:r>
    </w:p>
    <w:p>
      <w:pPr>
        <w:pStyle w:val="BodyText"/>
        <w:spacing w:lineRule="auto" w:line="276" w:before="0" w:after="160"/>
        <w:ind w:start="837"/>
        <w:jc w:val="both"/>
        <w:rPr/>
      </w:pPr>
      <w:r>
        <w:rPr>
          <w:b/>
          <w:sz w:val="24"/>
          <w:szCs w:val="24"/>
        </w:rPr>
        <w:t>40 denotes Primary spectral sensing module (NIR spectrometer, 400–1700 nm; prototype uses Specim FX10 covering 400–1000 nm; claimed invention encompasses any NIR sensor in this range)</w:t>
      </w:r>
    </w:p>
    <w:p>
      <w:pPr>
        <w:pStyle w:val="BodyText"/>
        <w:spacing w:lineRule="auto" w:line="276" w:before="0" w:after="160"/>
        <w:ind w:start="837"/>
        <w:jc w:val="both"/>
        <w:rPr/>
      </w:pPr>
      <w:r>
        <w:rPr>
          <w:b/>
          <w:sz w:val="24"/>
          <w:szCs w:val="24"/>
        </w:rPr>
        <w:t>42</w:t>
      </w:r>
      <w:r>
        <w:rPr>
          <w:sz w:val="24"/>
          <w:szCs w:val="24"/>
        </w:rPr>
        <w:t xml:space="preserve"> denotes NIR spectrometer sensor element</w:t>
      </w:r>
    </w:p>
    <w:p>
      <w:pPr>
        <w:pStyle w:val="BodyText"/>
        <w:spacing w:lineRule="auto" w:line="276" w:before="0" w:after="160"/>
        <w:ind w:start="837"/>
        <w:jc w:val="both"/>
        <w:rPr/>
      </w:pPr>
      <w:r>
        <w:rPr>
          <w:b/>
          <w:sz w:val="24"/>
          <w:szCs w:val="24"/>
        </w:rPr>
        <w:t>50</w:t>
      </w:r>
      <w:r>
        <w:rPr>
          <w:sz w:val="24"/>
          <w:szCs w:val="24"/>
        </w:rPr>
        <w:t xml:space="preserve"> denotes Adaptive Confidence Engine (ACE) processor — the core inventive element — receiving inputs from the primary spectral module (40), machine vision subsystem (20), environmental sensors (52, 54, 56), and computing the adaptive escalation threshold</w:t>
      </w:r>
    </w:p>
    <w:p>
      <w:pPr>
        <w:pStyle w:val="BodyText"/>
        <w:spacing w:lineRule="auto" w:line="276" w:before="0" w:after="160"/>
        <w:ind w:start="837"/>
        <w:jc w:val="both"/>
        <w:rPr/>
      </w:pPr>
      <w:r>
        <w:rPr>
          <w:b/>
          <w:sz w:val="24"/>
          <w:szCs w:val="24"/>
        </w:rPr>
        <w:t>52</w:t>
      </w:r>
      <w:r>
        <w:rPr>
          <w:sz w:val="24"/>
          <w:szCs w:val="24"/>
        </w:rPr>
        <w:t xml:space="preserve"> denotes Ambient light sensor (lux measurement)</w:t>
      </w:r>
    </w:p>
    <w:p>
      <w:pPr>
        <w:pStyle w:val="BodyText"/>
        <w:spacing w:lineRule="auto" w:line="276" w:before="0" w:after="160"/>
        <w:ind w:start="837"/>
        <w:jc w:val="both"/>
        <w:rPr/>
      </w:pPr>
      <w:r>
        <w:rPr>
          <w:b/>
          <w:sz w:val="24"/>
          <w:szCs w:val="24"/>
        </w:rPr>
        <w:t>54</w:t>
      </w:r>
      <w:r>
        <w:rPr>
          <w:sz w:val="24"/>
          <w:szCs w:val="24"/>
        </w:rPr>
        <w:t xml:space="preserve"> denotes Temperature sensor (sensor operating temperature in °C)</w:t>
      </w:r>
    </w:p>
    <w:p>
      <w:pPr>
        <w:pStyle w:val="BodyText"/>
        <w:spacing w:lineRule="auto" w:line="276" w:before="0" w:after="160"/>
        <w:ind w:start="837"/>
        <w:jc w:val="both"/>
        <w:rPr/>
      </w:pPr>
      <w:r>
        <w:rPr>
          <w:b/>
          <w:sz w:val="24"/>
          <w:szCs w:val="24"/>
        </w:rPr>
        <w:t>56</w:t>
      </w:r>
      <w:r>
        <w:rPr>
          <w:sz w:val="24"/>
          <w:szCs w:val="24"/>
        </w:rPr>
        <w:t xml:space="preserve"> denotes Humidity sensor (relative humidity percentage)</w:t>
      </w:r>
    </w:p>
    <w:p>
      <w:pPr>
        <w:pStyle w:val="BodyText"/>
        <w:spacing w:lineRule="auto" w:line="276" w:before="0" w:after="160"/>
        <w:ind w:start="837"/>
        <w:jc w:val="both"/>
        <w:rPr/>
      </w:pPr>
      <w:r>
        <w:rPr>
          <w:b/>
          <w:sz w:val="24"/>
          <w:szCs w:val="24"/>
        </w:rPr>
        <w:t>60</w:t>
      </w:r>
      <w:r>
        <w:rPr>
          <w:sz w:val="24"/>
          <w:szCs w:val="24"/>
        </w:rPr>
        <w:t xml:space="preserve"> denotes Secondary spectral sensing module (MIR/FTIR spectrometer, 2.5–25 μm)</w:t>
      </w:r>
    </w:p>
    <w:p>
      <w:pPr>
        <w:pStyle w:val="BodyText"/>
        <w:spacing w:lineRule="auto" w:line="276" w:before="0" w:after="160"/>
        <w:ind w:start="837"/>
        <w:jc w:val="both"/>
        <w:rPr/>
      </w:pPr>
      <w:r>
        <w:rPr>
          <w:b/>
          <w:sz w:val="24"/>
          <w:szCs w:val="24"/>
        </w:rPr>
        <w:t>62</w:t>
      </w:r>
      <w:r>
        <w:rPr>
          <w:sz w:val="24"/>
          <w:szCs w:val="24"/>
        </w:rPr>
        <w:t xml:space="preserve"> denotes FTIR spectrometer sensor element</w:t>
      </w:r>
    </w:p>
    <w:p>
      <w:pPr>
        <w:pStyle w:val="BodyText"/>
        <w:spacing w:lineRule="auto" w:line="276" w:before="0" w:after="160"/>
        <w:ind w:start="837"/>
        <w:jc w:val="both"/>
        <w:rPr/>
      </w:pPr>
      <w:r>
        <w:rPr>
          <w:b/>
          <w:sz w:val="24"/>
          <w:szCs w:val="24"/>
        </w:rPr>
        <w:t>70</w:t>
      </w:r>
      <w:r>
        <w:rPr>
          <w:sz w:val="24"/>
          <w:szCs w:val="24"/>
        </w:rPr>
        <w:t xml:space="preserve"> denotes Polymer sorting mechanism comprising pneumatic diverter gates</w:t>
      </w:r>
    </w:p>
    <w:p>
      <w:pPr>
        <w:pStyle w:val="BodyText"/>
        <w:spacing w:lineRule="auto" w:line="276" w:before="0" w:after="160"/>
        <w:ind w:start="837"/>
        <w:jc w:val="both"/>
        <w:rPr/>
      </w:pPr>
      <w:r>
        <w:rPr>
          <w:b/>
          <w:sz w:val="24"/>
          <w:szCs w:val="24"/>
        </w:rPr>
        <w:t>72a–72f</w:t>
      </w:r>
      <w:r>
        <w:rPr>
          <w:sz w:val="24"/>
          <w:szCs w:val="24"/>
        </w:rPr>
        <w:t xml:space="preserve"> denotes Individual pneumatic diverter gates corresponding to six polymer sorting channels</w:t>
      </w:r>
    </w:p>
    <w:p>
      <w:pPr>
        <w:pStyle w:val="BodyText"/>
        <w:spacing w:lineRule="auto" w:line="276" w:before="0" w:after="160"/>
        <w:ind w:start="837"/>
        <w:jc w:val="both"/>
        <w:rPr/>
      </w:pPr>
      <w:r>
        <w:rPr>
          <w:b/>
          <w:sz w:val="24"/>
          <w:szCs w:val="24"/>
        </w:rPr>
        <w:t>74a</w:t>
      </w:r>
      <w:r>
        <w:rPr>
          <w:sz w:val="24"/>
          <w:szCs w:val="24"/>
        </w:rPr>
        <w:t xml:space="preserve"> denotes PET (Polyethylene Terephthalate) polymer collection bin</w:t>
      </w:r>
    </w:p>
    <w:p>
      <w:pPr>
        <w:pStyle w:val="BodyText"/>
        <w:spacing w:lineRule="auto" w:line="276" w:before="0" w:after="160"/>
        <w:ind w:start="837"/>
        <w:jc w:val="both"/>
        <w:rPr/>
      </w:pPr>
      <w:r>
        <w:rPr>
          <w:b/>
          <w:sz w:val="24"/>
          <w:szCs w:val="24"/>
        </w:rPr>
        <w:t>74b</w:t>
      </w:r>
      <w:r>
        <w:rPr>
          <w:sz w:val="24"/>
          <w:szCs w:val="24"/>
        </w:rPr>
        <w:t xml:space="preserve"> denotes HDPE (High-Density Polyethylene) polymer collection bin</w:t>
      </w:r>
    </w:p>
    <w:p>
      <w:pPr>
        <w:pStyle w:val="BodyText"/>
        <w:spacing w:lineRule="auto" w:line="276" w:before="0" w:after="160"/>
        <w:ind w:start="837"/>
        <w:jc w:val="both"/>
        <w:rPr/>
      </w:pPr>
      <w:r>
        <w:rPr>
          <w:b/>
          <w:sz w:val="24"/>
          <w:szCs w:val="24"/>
        </w:rPr>
        <w:t>74c</w:t>
      </w:r>
      <w:r>
        <w:rPr>
          <w:sz w:val="24"/>
          <w:szCs w:val="24"/>
        </w:rPr>
        <w:t xml:space="preserve"> denotes PVC (Polyvinyl Chloride) polymer collection bin</w:t>
      </w:r>
    </w:p>
    <w:p>
      <w:pPr>
        <w:pStyle w:val="BodyText"/>
        <w:spacing w:lineRule="auto" w:line="276" w:before="0" w:after="160"/>
        <w:ind w:start="837"/>
        <w:jc w:val="both"/>
        <w:rPr/>
      </w:pPr>
      <w:r>
        <w:rPr>
          <w:b/>
          <w:sz w:val="24"/>
          <w:szCs w:val="24"/>
        </w:rPr>
        <w:t>74d</w:t>
      </w:r>
      <w:r>
        <w:rPr>
          <w:sz w:val="24"/>
          <w:szCs w:val="24"/>
        </w:rPr>
        <w:t xml:space="preserve"> denotes LDPE (Low-Density Polyethylene) polymer collection bin</w:t>
      </w:r>
    </w:p>
    <w:p>
      <w:pPr>
        <w:pStyle w:val="BodyText"/>
        <w:spacing w:lineRule="auto" w:line="276" w:before="0" w:after="160"/>
        <w:ind w:start="837"/>
        <w:jc w:val="both"/>
        <w:rPr/>
      </w:pPr>
      <w:r>
        <w:rPr>
          <w:b/>
          <w:sz w:val="24"/>
          <w:szCs w:val="24"/>
        </w:rPr>
        <w:t>74e</w:t>
      </w:r>
      <w:r>
        <w:rPr>
          <w:sz w:val="24"/>
          <w:szCs w:val="24"/>
        </w:rPr>
        <w:t xml:space="preserve"> denotes PP (Polypropylene) polymer collection bin</w:t>
      </w:r>
    </w:p>
    <w:p>
      <w:pPr>
        <w:pStyle w:val="BodyText"/>
        <w:spacing w:lineRule="auto" w:line="276" w:before="0" w:after="160"/>
        <w:ind w:start="837"/>
        <w:jc w:val="both"/>
        <w:rPr/>
      </w:pPr>
      <w:r>
        <w:rPr>
          <w:b/>
          <w:sz w:val="24"/>
          <w:szCs w:val="24"/>
        </w:rPr>
        <w:t>74f</w:t>
      </w:r>
      <w:r>
        <w:rPr>
          <w:sz w:val="24"/>
          <w:szCs w:val="24"/>
        </w:rPr>
        <w:t xml:space="preserve"> denotes PS (Polystyrene) polymer collection bin</w:t>
      </w:r>
    </w:p>
    <w:p>
      <w:pPr>
        <w:pStyle w:val="BodyText"/>
        <w:spacing w:lineRule="auto" w:line="276" w:before="0" w:after="160"/>
        <w:ind w:start="837"/>
        <w:jc w:val="both"/>
        <w:rPr/>
      </w:pPr>
      <w:r>
        <w:rPr>
          <w:b/>
          <w:sz w:val="24"/>
          <w:szCs w:val="24"/>
        </w:rPr>
        <w:t>80</w:t>
      </w:r>
      <w:r>
        <w:rPr>
          <w:sz w:val="24"/>
          <w:szCs w:val="24"/>
        </w:rPr>
        <w:t xml:space="preserve"> denotes Feedback database module recording prediction outcomes for continuous model refinement</w:t>
      </w:r>
    </w:p>
    <w:p>
      <w:pPr>
        <w:pStyle w:val="ListParagraph"/>
        <w:numPr>
          <w:ilvl w:val="0"/>
          <w:numId w:val="1"/>
        </w:numPr>
        <w:tabs>
          <w:tab w:val="clear" w:pos="720"/>
          <w:tab w:val="left" w:pos="347" w:leader="none"/>
        </w:tabs>
        <w:ind w:hanging="0" w:start="0"/>
        <w:jc w:val="both"/>
        <w:rPr>
          <w:b/>
          <w:sz w:val="24"/>
          <w:szCs w:val="24"/>
        </w:rPr>
      </w:pPr>
      <w:r>
        <w:rPr>
          <w:b/>
          <w:sz w:val="24"/>
          <w:szCs w:val="24"/>
        </w:rPr>
        <w:tab/>
        <w:t>Detailed</w:t>
      </w:r>
      <w:r>
        <w:rPr>
          <w:b/>
          <w:spacing w:val="-3"/>
          <w:sz w:val="24"/>
          <w:szCs w:val="24"/>
        </w:rPr>
        <w:t xml:space="preserve"> </w:t>
      </w:r>
      <w:r>
        <w:rPr>
          <w:b/>
          <w:sz w:val="24"/>
          <w:szCs w:val="24"/>
        </w:rPr>
        <w:t>description</w:t>
      </w:r>
      <w:r>
        <w:rPr>
          <w:b/>
          <w:spacing w:val="-2"/>
          <w:sz w:val="24"/>
          <w:szCs w:val="24"/>
        </w:rPr>
        <w:t xml:space="preserve"> </w:t>
      </w:r>
      <w:r>
        <w:rPr>
          <w:b/>
          <w:sz w:val="24"/>
          <w:szCs w:val="24"/>
        </w:rPr>
        <w:t>of</w:t>
      </w:r>
      <w:r>
        <w:rPr>
          <w:b/>
          <w:spacing w:val="-5"/>
          <w:sz w:val="24"/>
          <w:szCs w:val="24"/>
        </w:rPr>
        <w:t xml:space="preserve"> </w:t>
      </w:r>
      <w:r>
        <w:rPr>
          <w:b/>
          <w:sz w:val="24"/>
          <w:szCs w:val="24"/>
        </w:rPr>
        <w:t>the</w:t>
      </w:r>
      <w:r>
        <w:rPr>
          <w:b/>
          <w:spacing w:val="-2"/>
          <w:sz w:val="24"/>
          <w:szCs w:val="24"/>
        </w:rPr>
        <w:t xml:space="preserve"> </w:t>
      </w:r>
      <w:r>
        <w:rPr>
          <w:b/>
          <w:sz w:val="24"/>
          <w:szCs w:val="24"/>
        </w:rPr>
        <w:t>invention:</w:t>
      </w:r>
    </w:p>
    <w:p>
      <w:pPr>
        <w:pStyle w:val="BodyText"/>
        <w:spacing w:lineRule="auto" w:line="276" w:before="0" w:after="160"/>
        <w:ind w:start="837"/>
        <w:jc w:val="both"/>
        <w:rPr/>
      </w:pPr>
      <w:r>
        <w:rPr>
          <w:b/>
          <w:sz w:val="24"/>
          <w:szCs w:val="24"/>
        </w:rPr>
        <w:t>9.1 System Overview</w:t>
      </w:r>
    </w:p>
    <w:p>
      <w:pPr>
        <w:pStyle w:val="BodyText"/>
        <w:spacing w:lineRule="auto" w:line="276" w:before="0" w:after="160"/>
        <w:ind w:start="837"/>
        <w:jc w:val="both"/>
        <w:rPr/>
      </w:pPr>
      <w:r>
        <w:rPr>
          <w:sz w:val="24"/>
          <w:szCs w:val="24"/>
        </w:rPr>
        <w:t>The present invention provides an automated plastic waste sorting system that performs multi-stage classification using a cascade of sensing modalities — machine vision, near-infrared (NIR) spectroscopy, and mid-infrared (MIR/FTIR) spectroscopy — managed by a novel Adaptive Confidence Engine (ACE). Unlike prior systems that use a fixed confidence threshold to decide when to engage the more expensive MIR sensor, the ACE learns to predict the optimal escalation threshold for each individual item based on a comprehensive 17-dimensional context vector.</w:t>
      </w:r>
    </w:p>
    <w:p>
      <w:pPr>
        <w:pStyle w:val="BodyText"/>
        <w:spacing w:lineRule="auto" w:line="276" w:before="0" w:after="160"/>
        <w:ind w:start="837"/>
        <w:jc w:val="both"/>
        <w:rPr/>
      </w:pPr>
      <w:r>
        <w:rPr>
          <w:sz w:val="24"/>
          <w:szCs w:val="24"/>
        </w:rPr>
        <w:t>The system operates on a linear conveyor mechanism (10) that transports waste articles at a configurable speed (default 0.25 m/s) through sequential processing stations. Articles enter via an input hopper (12) and proceed through the following stages:</w:t>
      </w:r>
    </w:p>
    <w:p>
      <w:pPr>
        <w:pStyle w:val="BodyText"/>
        <w:spacing w:lineRule="auto" w:line="276" w:before="0" w:after="160"/>
        <w:ind w:start="837"/>
        <w:jc w:val="both"/>
        <w:rPr/>
      </w:pPr>
      <w:r>
        <w:rPr>
          <w:b/>
          <w:sz w:val="24"/>
          <w:szCs w:val="24"/>
        </w:rPr>
        <w:br/>
        <w:t>9.2 Stage-by-Stage Operation</w:t>
      </w:r>
    </w:p>
    <w:p>
      <w:pPr>
        <w:pStyle w:val="BodyText"/>
        <w:spacing w:lineRule="auto" w:line="276" w:before="0" w:after="160"/>
        <w:ind w:start="837"/>
        <w:jc w:val="both"/>
        <w:rPr/>
      </w:pPr>
      <w:r>
        <w:rPr>
          <w:b/>
          <w:sz w:val="24"/>
          <w:szCs w:val="24"/>
        </w:rPr>
        <w:t>Stage 1 — Machine Vision Detection and Macro-Classification</w:t>
      </w:r>
    </w:p>
    <w:p>
      <w:pPr>
        <w:pStyle w:val="BodyText"/>
        <w:spacing w:lineRule="auto" w:line="276" w:before="0" w:after="160"/>
        <w:ind w:start="837"/>
        <w:jc w:val="both"/>
        <w:rPr/>
      </w:pPr>
      <w:r>
        <w:rPr>
          <w:sz w:val="24"/>
          <w:szCs w:val="24"/>
        </w:rPr>
        <w:t>A machine vision subsystem (20) comprising an RGB image sensor (22) mounted on a support frame (24) captures images of articles as they pass on the conveyor belt (10). A YOLOv11s deep neural network processes each captured frame to detect and classify waste items into six macro-categories: BIODEGRADABLE, CARDBOARD, GLASS, METAL, PAPER, and PLASTIC. The detection model operates at 24.96 ms median latency (approximately 40 frames per second) on an NVIDIA RTX 4050 GPU with a peak VRAM consumption of 234.5 MB. For items classified as non-plastic, a first robotic manipulator (30) with an end effector (32) diverts them into appropriate collection receptacles (34a–34e) corresponding to Metal, Paper, Glass, Organic, and Other waste categories respectively.</w:t>
      </w:r>
    </w:p>
    <w:p>
      <w:pPr>
        <w:pStyle w:val="BodyText"/>
        <w:spacing w:lineRule="auto" w:line="276" w:before="0" w:after="160"/>
        <w:ind w:start="837"/>
        <w:jc w:val="both"/>
        <w:rPr/>
      </w:pPr>
      <w:r>
        <w:rPr>
          <w:b/>
          <w:sz w:val="24"/>
          <w:szCs w:val="24"/>
        </w:rPr>
        <w:t>Stage 2 — Expected Failure Prediction (EFP)</w:t>
      </w:r>
    </w:p>
    <w:p>
      <w:pPr>
        <w:pStyle w:val="BodyText"/>
        <w:spacing w:lineRule="auto" w:line="276" w:before="0" w:after="160"/>
        <w:ind w:start="837"/>
        <w:jc w:val="both"/>
        <w:rPr/>
      </w:pPr>
      <w:r>
        <w:rPr>
          <w:sz w:val="24"/>
          <w:szCs w:val="24"/>
        </w:rPr>
        <w:t>For items classified as PLASTIC, the system first evaluates whether the primary NIR sensor is likely to produce a reliable classification. The EFP predicts the likelihood of NIR failure prior to acquisition of any NIR spectrum, using exclusively vision-derived and environmental features. The EFP module — implemented as a Random Forest classifier with 100 estimators and maximum depth of 10 — analyses six features extracted from the item: (i) RGB darkness (from camera), (ii) object color/hue (from camera), (iii) ambient lighting (from environmental sensor), (iv) RGB gloss index (from camera), (v) texture roughness (from camera), and (vi) object size (from YOLO bounding box). If the EFP predicts a failure probability exceeding 0.60, the item bypasses the NIR stage entirely (note: no spectral data is used by the EFP) and is routed directly to the MIR/FTIR sensor (60). This proactive bypass avoids wasting approximately 0.3 seconds of NIR scanning time for items that would inevitably require MIR analysis.</w:t>
      </w:r>
    </w:p>
    <w:p>
      <w:pPr>
        <w:pStyle w:val="BodyText"/>
        <w:spacing w:lineRule="auto" w:line="276" w:before="0" w:after="160"/>
        <w:ind w:start="837"/>
        <w:jc w:val="both"/>
        <w:rPr/>
      </w:pPr>
      <w:r>
        <w:rPr>
          <w:b/>
          <w:sz w:val="24"/>
          <w:szCs w:val="24"/>
        </w:rPr>
        <w:t>Stage 3 — Primary NIR Spectral Sensing</w:t>
      </w:r>
    </w:p>
    <w:p>
      <w:pPr>
        <w:pStyle w:val="BodyText"/>
        <w:spacing w:lineRule="auto" w:line="276" w:before="0" w:after="160"/>
        <w:ind w:start="837"/>
        <w:jc w:val="both"/>
        <w:rPr/>
      </w:pPr>
      <w:r>
        <w:rPr>
          <w:sz w:val="24"/>
          <w:szCs w:val="24"/>
        </w:rPr>
        <w:t>Items not flagged by the EFP proceed to the primary spectral sensing module (40) comprising a NIR spectrometer (42) operating in the 400–1700 nm wavelength range (prototype: Specim FX10 hyperspectral sensor covering 400–1000 nm; the claimed invention encompasses any NIR sensor in the 400–1700 nm range). During NIR acquisition, if the mean NIR reflectance intensity is below 0.08 (indicating carbon-black absorption), the item is immediately routed to the MIR/FTIR sensor as an early-exit bypass. Otherwise, the spectrometer captures a 232-band hyperspectral signature for each article. A Support Vector Machine (SVM) classifier with a Radial Basis Function (RBF) kernel (C = 10.0, γ = 'scale') processes the scaled spectral data to predict the polymer type. The NIR SVM classifier achieves 97.12% test accuracy and 97.11% weighted F1-score across seven classes: PET, HDPE, LDPE, PP, PS, ORGANIC, and OTHER. The classifier also outputs calibrated class-probability estimates (obtained via Platt scaling of SVM decision values), from which the top-1 confidence score and the confidence margin (difference between the top-1 and top-2 class probabilities) are extracted for use by the Adaptive Confidence Engine.</w:t>
      </w:r>
    </w:p>
    <w:p>
      <w:pPr>
        <w:pStyle w:val="BodyText"/>
        <w:spacing w:lineRule="auto" w:line="276" w:before="0" w:after="160"/>
        <w:ind w:start="837"/>
        <w:jc w:val="both"/>
        <w:rPr/>
      </w:pPr>
      <w:r>
        <w:rPr>
          <w:b/>
          <w:sz w:val="24"/>
          <w:szCs w:val="24"/>
        </w:rPr>
        <w:t>Stage 4 — Adaptive Confidence Engine (ACE) — The Core Inventive Element</w:t>
      </w:r>
    </w:p>
    <w:p>
      <w:pPr>
        <w:pStyle w:val="BodyText"/>
        <w:spacing w:lineRule="auto" w:line="276" w:before="0" w:after="160"/>
        <w:ind w:start="837"/>
        <w:jc w:val="both"/>
        <w:rPr/>
      </w:pPr>
      <w:r>
        <w:rPr>
          <w:sz w:val="24"/>
          <w:szCs w:val="24"/>
        </w:rPr>
        <w:t>The Adaptive Confidence Engine processor (50) is the central novel component of this invention. It replaces the static confidence threshold used in prior systems with a learned, per-item adaptive threshold. The ACE receives inputs from the primary spectral module (40), the machine vision subsystem (20), environmental sensors (52, 54, 56), and system operational state to construct a 17-dimensional context vector:</w:t>
      </w:r>
    </w:p>
    <w:tbl>
      <w:tblPr>
        <w:tblStyle w:val="TableGrid"/>
        <w:tblW w:w="909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160"/>
        <w:gridCol w:w="2613"/>
        <w:gridCol w:w="2161"/>
        <w:gridCol w:w="2161"/>
      </w:tblGrid>
      <w:tr>
        <w:trPr/>
        <w:tc>
          <w:tcPr>
            <w:tcW w:w="2160" w:type="dxa"/>
            <w:tcBorders/>
            <w:shd w:val="clear" w:color="auto" w:fill="4472C4"/>
          </w:tcPr>
          <w:p>
            <w:pPr>
              <w:pStyle w:val="Normal"/>
              <w:suppressAutoHyphens w:val="true"/>
              <w:spacing w:before="0" w:after="0"/>
              <w:jc w:val="start"/>
              <w:rPr>
                <w:rFonts w:ascii="Times New Roman" w:hAnsi="Times New Roman" w:cs="Times New Roman"/>
                <w:kern w:val="0"/>
                <w:lang w:bidi="ar-SA"/>
              </w:rPr>
            </w:pPr>
            <w:r>
              <w:rPr>
                <w:rFonts w:cs="Times New Roman"/>
                <w:b/>
                <w:color w:val="FFFFFF"/>
                <w:kern w:val="0"/>
                <w:sz w:val="24"/>
                <w:szCs w:val="24"/>
                <w:lang w:bidi="ar-SA"/>
              </w:rPr>
              <w:t>#</w:t>
            </w:r>
          </w:p>
        </w:tc>
        <w:tc>
          <w:tcPr>
            <w:tcW w:w="2613" w:type="dxa"/>
            <w:tcBorders/>
            <w:shd w:val="clear" w:color="auto" w:fill="4472C4"/>
          </w:tcPr>
          <w:p>
            <w:pPr>
              <w:pStyle w:val="Normal"/>
              <w:suppressAutoHyphens w:val="true"/>
              <w:spacing w:before="0" w:after="0"/>
              <w:jc w:val="start"/>
              <w:rPr>
                <w:rFonts w:ascii="Times New Roman" w:hAnsi="Times New Roman" w:cs="Times New Roman"/>
                <w:kern w:val="0"/>
                <w:lang w:bidi="ar-SA"/>
              </w:rPr>
            </w:pPr>
            <w:r>
              <w:rPr>
                <w:rFonts w:cs="Times New Roman"/>
                <w:b/>
                <w:color w:val="FFFFFF"/>
                <w:kern w:val="0"/>
                <w:sz w:val="24"/>
                <w:szCs w:val="24"/>
                <w:lang w:bidi="ar-SA"/>
              </w:rPr>
              <w:t>Feature Name</w:t>
            </w:r>
          </w:p>
        </w:tc>
        <w:tc>
          <w:tcPr>
            <w:tcW w:w="2161" w:type="dxa"/>
            <w:tcBorders/>
            <w:shd w:val="clear" w:color="auto" w:fill="4472C4"/>
          </w:tcPr>
          <w:p>
            <w:pPr>
              <w:pStyle w:val="Normal"/>
              <w:suppressAutoHyphens w:val="true"/>
              <w:spacing w:before="0" w:after="0"/>
              <w:jc w:val="start"/>
              <w:rPr>
                <w:rFonts w:ascii="Times New Roman" w:hAnsi="Times New Roman" w:cs="Times New Roman"/>
                <w:kern w:val="0"/>
                <w:lang w:bidi="ar-SA"/>
              </w:rPr>
            </w:pPr>
            <w:r>
              <w:rPr>
                <w:rFonts w:cs="Times New Roman"/>
                <w:b/>
                <w:color w:val="FFFFFF"/>
                <w:kern w:val="0"/>
                <w:sz w:val="24"/>
                <w:szCs w:val="24"/>
                <w:lang w:bidi="ar-SA"/>
              </w:rPr>
              <w:t>Source Modality</w:t>
            </w:r>
          </w:p>
        </w:tc>
        <w:tc>
          <w:tcPr>
            <w:tcW w:w="2161" w:type="dxa"/>
            <w:tcBorders/>
            <w:shd w:val="clear" w:color="auto" w:fill="4472C4"/>
          </w:tcPr>
          <w:p>
            <w:pPr>
              <w:pStyle w:val="Normal"/>
              <w:suppressAutoHyphens w:val="true"/>
              <w:spacing w:before="0" w:after="0"/>
              <w:jc w:val="start"/>
              <w:rPr>
                <w:rFonts w:ascii="Times New Roman" w:hAnsi="Times New Roman" w:cs="Times New Roman"/>
                <w:kern w:val="0"/>
                <w:lang w:bidi="ar-SA"/>
              </w:rPr>
            </w:pPr>
            <w:r>
              <w:rPr>
                <w:rFonts w:cs="Times New Roman"/>
                <w:b/>
                <w:color w:val="FFFFFF"/>
                <w:kern w:val="0"/>
                <w:sz w:val="24"/>
                <w:szCs w:val="24"/>
                <w:lang w:bidi="ar-SA"/>
              </w:rPr>
              <w:t>Computation Method</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nir_confidence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SVM Output</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Top-1 class probability (direct)</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2</w:t>
            </w:r>
          </w:p>
        </w:tc>
        <w:tc>
          <w:tcPr>
            <w:tcW w:w="2613"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nir_confidence_margin</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SVM Output</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Top-1 minus Top-2 class probability</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3</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reflectance_mean</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Spectrum (232 bands)</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Arithmetic mean of spectral intensities</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4</w:t>
            </w:r>
          </w:p>
        </w:tc>
        <w:tc>
          <w:tcPr>
            <w:tcW w:w="2613"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reflectance_variance</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Spectrum (232 bands)</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Statistical variance of spectral intensities</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5</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spectral_entropy</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Spectrum (normalized)</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Shannon entropy: −Σ(p·log p)</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6</w:t>
            </w:r>
          </w:p>
        </w:tc>
        <w:tc>
          <w:tcPr>
            <w:tcW w:w="2613"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object_hue_mean</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RGB Camera → HSV</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Mean H-channel value of object crop</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7</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object_value_mean</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RGB Camera → HSV</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Mean V-channel value (brightness proxy)</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8</w:t>
            </w:r>
          </w:p>
        </w:tc>
        <w:tc>
          <w:tcPr>
            <w:tcW w:w="2613"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object_size_px</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YOLO Bounding Box</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Bounding box width × height in pixels</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9</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object_aspect_ratio</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YOLO Bounding Box</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Width / height ratio</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10</w:t>
            </w:r>
          </w:p>
        </w:tc>
        <w:tc>
          <w:tcPr>
            <w:tcW w:w="2613"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ambient_light_lux</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Environmental Sensor (52)</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Ambient illumination in lux</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11</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sensor_temperature_c</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Temperature Sensor (54)</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Sensor operating temperature in °C</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12</w:t>
            </w:r>
          </w:p>
        </w:tc>
        <w:tc>
          <w:tcPr>
            <w:tcW w:w="2613"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humidity_pct</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Humidity Sensor (56)</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Relative humidity percentage</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13</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conveyor_speed_ms</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Belt Encoder</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Conveyor speed in metres per second</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14</w:t>
            </w:r>
          </w:p>
        </w:tc>
        <w:tc>
          <w:tcPr>
            <w:tcW w:w="2613"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predicted_class_encoded</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SVM Output</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Integer-encoded predicted polymer class</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15</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recent_mir_rate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System State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Moving average of MIR activations over last 20 items</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16</w:t>
            </w:r>
          </w:p>
        </w:tc>
        <w:tc>
          <w:tcPr>
            <w:tcW w:w="2613"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camera_noise_level</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Camera Diagnostics</w:t>
            </w:r>
          </w:p>
        </w:tc>
        <w:tc>
          <w:tcPr>
            <w:tcW w:w="2161"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b w:val="0"/>
                <w:sz w:val="20"/>
              </w:rPr>
              <w:t>Estimated image noise level (optional; defaults to 0.0 when hardware unavailable)</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17</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sensor_drift_index</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Calibration Module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b w:val="0"/>
                <w:sz w:val="20"/>
              </w:rPr>
              <w:t>Cumulative sensor drift since last calibration (optional; defaults to 0.0 when hardware unavailable)</w:t>
            </w:r>
          </w:p>
        </w:tc>
      </w:tr>
    </w:tbl>
    <w:p>
      <w:pPr>
        <w:pStyle w:val="BodyText"/>
        <w:spacing w:lineRule="auto" w:line="276" w:before="0" w:after="160"/>
        <w:ind w:start="837"/>
        <w:jc w:val="both"/>
        <w:rPr/>
      </w:pPr>
      <w:r>
        <w:rPr>
          <w:sz w:val="24"/>
          <w:szCs w:val="24"/>
        </w:rPr>
        <w:t>Note: Features 1–15 are implemented in the deployed prototype (src/ace/feature_extractor.py). Features 16 (camera_noise_level) and 17 (sensor_drift_index) require optional hardware calibration modules and default to 0.0 when the hardware is unavailable.</w:t>
        <w:br/>
        <w:br/>
        <w:t>The ACE model is an XGBoost gradient-boosted decision tree classifier configured with 200 estimators, maximum tree depth of 5, and learning rate of 0.05, trained on a binary classification task: predicting whether MIR sensing is needed (label = 1) or NIR alone is sufficient (label = 0) for a given item. The model outputs P(MIR_needed), the probability that the secondary sensor is required.</w:t>
      </w:r>
    </w:p>
    <w:p>
      <w:pPr>
        <w:pStyle w:val="BodyText"/>
        <w:spacing w:lineRule="auto" w:line="276" w:before="0" w:after="160"/>
        <w:ind w:start="837"/>
        <w:jc w:val="both"/>
        <w:rPr/>
      </w:pPr>
      <w:r>
        <w:rPr>
          <w:sz w:val="24"/>
          <w:szCs w:val="24"/>
        </w:rPr>
        <w:t>The adaptive threshold is computed according to the following formula:</w:t>
      </w:r>
    </w:p>
    <w:p>
      <w:pPr>
        <w:pStyle w:val="BodyText"/>
        <w:spacing w:lineRule="auto" w:line="276" w:before="0" w:after="160"/>
        <w:ind w:start="837"/>
        <w:jc w:val="both"/>
        <w:rPr/>
      </w:pPr>
      <w:r>
        <w:rPr>
          <w:b/>
          <w:i/>
          <w:sz w:val="24"/>
          <w:szCs w:val="24"/>
        </w:rPr>
        <w:t>T = T_base + α × P(MIR_needed)</w:t>
      </w:r>
    </w:p>
    <w:p>
      <w:pPr>
        <w:pStyle w:val="BodyText"/>
        <w:spacing w:lineRule="auto" w:line="276" w:before="0" w:after="160"/>
        <w:ind w:start="837"/>
        <w:jc w:val="both"/>
        <w:rPr/>
      </w:pPr>
      <w:r>
        <w:rPr>
          <w:sz w:val="24"/>
          <w:szCs w:val="24"/>
        </w:rPr>
        <w:t>Where T_base = 0.70 (base threshold) and α = 0.25 (scaling factor), producing an adaptive threshold T in the range [0.70, 0.95]. When the NIR classifier confidence is below T, the system escalates to MIR sensing. When the confidence meets or exceeds T, the NIR classification is accepted as final.</w:t>
      </w:r>
    </w:p>
    <w:p>
      <w:pPr>
        <w:pStyle w:val="BodyText"/>
        <w:spacing w:lineRule="auto" w:line="276" w:before="0" w:after="160"/>
        <w:ind w:start="837"/>
        <w:jc w:val="both"/>
        <w:rPr/>
      </w:pPr>
      <w:r>
        <w:rPr>
          <w:sz w:val="24"/>
          <w:szCs w:val="24"/>
        </w:rPr>
        <w:t>This formulation ensures that items the ACE predicts are likely to need MIR (high P(MIR_needed)) face a higher confidence bar, making escalation more likely. Conversely, items in favorable conditions (high brightness, clear spectrum, common polymer type) face a lower confidence bar, reducing unnecessary escalations.</w:t>
      </w:r>
    </w:p>
    <w:p>
      <w:pPr>
        <w:pStyle w:val="BodyText"/>
        <w:spacing w:lineRule="auto" w:line="276" w:before="0" w:after="160"/>
        <w:ind w:start="837"/>
        <w:jc w:val="both"/>
        <w:rPr/>
      </w:pPr>
      <w:r>
        <w:rPr>
          <w:b/>
          <w:sz w:val="24"/>
          <w:szCs w:val="24"/>
        </w:rPr>
        <w:t>Stage 5 — Secondary MIR/FTIR Spectral Sensing (Fallback)</w:t>
      </w:r>
    </w:p>
    <w:p>
      <w:pPr>
        <w:pStyle w:val="BodyText"/>
        <w:spacing w:lineRule="auto" w:line="276" w:before="0" w:after="160"/>
        <w:ind w:start="837"/>
        <w:jc w:val="both"/>
        <w:rPr/>
      </w:pPr>
      <w:r>
        <w:rPr>
          <w:sz w:val="24"/>
          <w:szCs w:val="24"/>
        </w:rPr>
        <w:t>When the ACE determines escalation is required, or when the EFP has bypassed NIR entirely, the secondary spectral sensing module (60) comprising an FTIR spectrometer (62) operating in the 2.5–25 μm wavelength range is activated. The FTIR spectrometer captures a 3,736-point spectrum spanning wavenumbers 399.19–4000.60 cm⁻¹ (approximate resolution ≈ 0.96 cm⁻¹) for the article. The raw spectrum undergoes Savitzky-Golay filtering (window length 15, polynomial order 2), Standard Normal Variate (SNV) normalization, and StandardScaler transformation before classification by a Random Forest classifier (200 estimators, maximum depth 15). The MIR Random Forest achieves 100.00% classification accuracy on the evaluated laboratory FTIR test dataset (N=398, 6 polymer classes, stratified split, deduplicated prior to splitting). Note: MIR accuracy of 100.00% on laboratory-grade spectra is consistent with prior published work (e.g., Serranti et al., 2012) under clean, controlled conditions and should not be extrapolated to field-contaminated samples without further validation.</w:t>
      </w:r>
    </w:p>
    <w:p>
      <w:pPr>
        <w:pStyle w:val="BodyText"/>
        <w:spacing w:lineRule="auto" w:line="276" w:before="0" w:after="160"/>
        <w:ind w:start="837"/>
        <w:jc w:val="both"/>
        <w:rPr/>
      </w:pPr>
      <w:r>
        <w:rPr>
          <w:b/>
          <w:sz w:val="24"/>
          <w:szCs w:val="24"/>
        </w:rPr>
        <w:t>Stage 6 — Polymer Sorting and Feedback</w:t>
      </w:r>
    </w:p>
    <w:p>
      <w:pPr>
        <w:pStyle w:val="BodyText"/>
        <w:spacing w:lineRule="auto" w:line="276" w:before="0" w:after="160"/>
        <w:ind w:start="837"/>
        <w:jc w:val="both"/>
        <w:rPr/>
      </w:pPr>
      <w:r>
        <w:rPr>
          <w:sz w:val="24"/>
          <w:szCs w:val="24"/>
        </w:rPr>
        <w:t>After final polymer classification (via NIR or MIR), the article proceeds to the polymer sorting mechanism (70) comprising pneumatic diverter gates (72a–72f) that route each article into the appropriate polymer-specific collection bin (74a–74f: PET, HDPE, PVC, LDPE, PP, PS respectively). Simultaneously, the feedback database module (80) records the complete prediction context — including the 17-feature context vector, NIR confidence, ACE threshold, escalation decision, sensors used, and final classification — in a structured SQLite database. This database enables periodic offline retraining of the ACE model using accumulated real-world data, implementing a continuous learning loop that progressively improves the system's escalation decisions over time.</w:t>
      </w:r>
    </w:p>
    <w:p>
      <w:pPr>
        <w:pStyle w:val="BodyText"/>
        <w:spacing w:lineRule="auto" w:line="276" w:before="0" w:after="160"/>
        <w:ind w:start="837"/>
        <w:jc w:val="both"/>
        <w:rPr/>
      </w:pPr>
      <w:r>
        <w:rPr>
          <w:sz w:val="24"/>
          <w:szCs w:val="24"/>
        </w:rPr>
        <w:t>For every processed item, the system generates a Material Processing Record containing a unique identifier, timestamp, inferred polymer type, confidence score, uncertainty score, complexity class, list of sensors activated, anomaly flag, and destination bin. This record provides full traceability for quality control and supporting auditability and documentation for applicable regulatory requirements.</w:t>
      </w:r>
    </w:p>
    <w:p>
      <w:pPr>
        <w:pStyle w:val="BodyText"/>
        <w:spacing w:lineRule="auto" w:line="276" w:before="0" w:after="160"/>
        <w:ind w:start="837"/>
        <w:jc w:val="both"/>
        <w:rPr/>
      </w:pPr>
      <w:r>
        <w:rPr>
          <w:b/>
          <w:sz w:val="24"/>
          <w:szCs w:val="24"/>
        </w:rPr>
        <w:br/>
        <w:t>9.3 ACE Training Methodology</w:t>
      </w:r>
    </w:p>
    <w:p>
      <w:pPr>
        <w:pStyle w:val="BodyText"/>
        <w:spacing w:lineRule="auto" w:line="276" w:before="0" w:after="160"/>
        <w:ind w:start="837"/>
        <w:jc w:val="both"/>
        <w:rPr/>
      </w:pPr>
      <w:r>
        <w:rPr>
          <w:sz w:val="24"/>
          <w:szCs w:val="24"/>
        </w:rPr>
        <w:t>The ACE model is initially trained on synthetic data generated by a physics-based simulator. The SyntheticDataGenerator produces 10,000 training samples with the following characteristics:</w:t>
        <w:br/>
        <w:t>• Six polymer types (PET, HDPE, PVC, LDPE, PP, PS) are simulated.</w:t>
        <w:br/>
        <w:t>• 15% of samples represent carbon-black-doped (CB) plastics with reflectance_mean ~ Uniform(0.01, 0.08) and NIR confidence ~ Uniform(0.05, 0.40).</w:t>
        <w:br/>
        <w:t>• Environmental variation: ambient_light ~ N(500, 150) lux, sensor_temp ~ N(28, 5) °C, humidity ~ N(55, 15)%, conveyor_speed ~ Uniform(0.15, 0.40) m/s.</w:t>
        <w:br/>
        <w:t>• Noise degradation: low light (&lt;200 lux) reduces NIR confidence by 0.05–0.15; high temperature (&gt;40°C) reduces confidence by 0.03–0.08; high humidity (&gt;80%) reduces confidence by 0.02–0.05.</w:t>
        <w:br/>
        <w:t>• Ground-truth label (MIR_needed = True) is assigned when: reflectance_mean &lt; 0.08, OR NIR confidence &lt; 0.50 after environmental degradation, OR polymer is PVC with confidence &lt; 0.75.</w:t>
        <w:br/>
        <w:t>• Approximately 30% of samples are edge cases where the fixed 0.85 threshold would make an incorrect escalation decision.</w:t>
      </w:r>
    </w:p>
    <w:p>
      <w:pPr>
        <w:pStyle w:val="BodyText"/>
        <w:spacing w:lineRule="auto" w:line="276" w:before="0" w:after="160"/>
        <w:ind w:start="837"/>
        <w:jc w:val="both"/>
        <w:rPr/>
      </w:pPr>
      <w:r>
        <w:rPr>
          <w:sz w:val="24"/>
          <w:szCs w:val="24"/>
        </w:rPr>
        <w:t>The model is trained with an 80/20 train/validation split. After deployment, the feedback database (80) accumulates real-world samples, enabling periodic retraining that gradually replaces synthetic data with observed operational data.</w:t>
      </w:r>
    </w:p>
    <w:p>
      <w:pPr>
        <w:pStyle w:val="BodyText"/>
        <w:spacing w:lineRule="auto" w:line="276" w:before="0" w:after="160"/>
        <w:ind w:start="837"/>
        <w:jc w:val="both"/>
        <w:rPr/>
      </w:pPr>
      <w:r>
        <w:rPr>
          <w:b/>
          <w:sz w:val="24"/>
          <w:szCs w:val="24"/>
        </w:rPr>
        <w:br/>
        <w:t>9.4 Experimental Evaluation</w:t>
      </w:r>
    </w:p>
    <w:p>
      <w:pPr>
        <w:pStyle w:val="BodyText"/>
        <w:spacing w:lineRule="auto" w:line="276" w:before="0" w:after="160"/>
        <w:ind w:start="837"/>
        <w:jc w:val="both"/>
        <w:rPr>
          <w:sz w:val="24"/>
          <w:szCs w:val="24"/>
        </w:rPr>
      </w:pPr>
      <w:r>
        <w:rPr>
          <w:sz w:val="24"/>
          <w:szCs w:val="24"/>
        </w:rPr>
        <w:t>The following table presents the measured performance on N=5,000 synthetic test samples with physics-based environmental simulation:</w:t>
        <w:br/>
        <w:br/>
        <w:t>[TABLE: ACE vs Fixed Threshold Performance Comparison]</w:t>
      </w:r>
    </w:p>
    <w:p>
      <w:pPr>
        <w:pStyle w:val="BodyText"/>
        <w:spacing w:lineRule="auto" w:line="276" w:before="0" w:after="160"/>
        <w:ind w:start="837"/>
        <w:jc w:val="both"/>
        <w:rPr/>
      </w:pPr>
      <w:r>
        <w:rPr>
          <w:sz w:val="24"/>
          <w:szCs w:val="24"/>
        </w:rPr>
        <w:br/>
        <w:t xml:space="preserve">|                Metric                         |  Fixed Threshold (0.85) | ACE (Adaptive) | Change     </w:t>
      </w:r>
      <w:r>
        <w:rPr>
          <w:sz w:val="24"/>
          <w:szCs w:val="24"/>
        </w:rPr>
        <w:t>|</w:t>
      </w:r>
      <w:r>
        <w:rPr>
          <w:sz w:val="24"/>
          <w:szCs w:val="24"/>
        </w:rPr>
        <w:br/>
        <w:t>|---------------------------------------|-----------------------------|----------------|-------------------|</w:t>
        <w:br/>
        <w:t>| MIR Activation Rate                 | 69.22%                 | 37.62%                 | −31.60 pp        |</w:t>
        <w:br/>
        <w:t>| False (Wasteful) Escalations     | 50.10%                 | 18.50%                 | −31.60 pp        |</w:t>
        <w:br/>
        <w:t>| Missed Escalations                    | 0.00%                   | 0.00%                   | No change       |</w:t>
        <w:br/>
        <w:t>| Classification Accuracy             |100.00% (lab)       | 100.00% (lab)      | No change       |</w:t>
        <w:br/>
        <w:t>| Energy Proxy (MIR cost = 3x)  | 10,383 units          | 5,643 units           |   −45.6%         |</w:t>
        <w:br/>
        <w:t>| Throughput                                | 16.31 items/min    | 17.04 items/min   | +4.5%             |</w:t>
        <w:br/>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160"/>
        <w:gridCol w:w="2160"/>
        <w:gridCol w:w="2160"/>
        <w:gridCol w:w="2160"/>
      </w:tblGrid>
      <w:tr>
        <w:trPr/>
        <w:tc>
          <w:tcPr>
            <w:tcW w:w="2160" w:type="dxa"/>
            <w:tcBorders/>
            <w:shd w:val="clear" w:color="auto" w:fill="4472C4"/>
          </w:tcPr>
          <w:p>
            <w:pPr>
              <w:pStyle w:val="Normal"/>
              <w:suppressAutoHyphens w:val="true"/>
              <w:spacing w:before="0" w:after="0"/>
              <w:jc w:val="start"/>
              <w:rPr>
                <w:rFonts w:ascii="Times New Roman" w:hAnsi="Times New Roman" w:cs="Times New Roman"/>
                <w:kern w:val="0"/>
                <w:lang w:bidi="ar-SA"/>
              </w:rPr>
            </w:pPr>
            <w:r>
              <w:rPr>
                <w:rFonts w:cs="Times New Roman"/>
                <w:b/>
                <w:color w:val="FFFFFF"/>
                <w:kern w:val="0"/>
                <w:sz w:val="24"/>
                <w:szCs w:val="24"/>
                <w:lang w:bidi="ar-SA"/>
              </w:rPr>
              <w:t>Metric</w:t>
            </w:r>
          </w:p>
        </w:tc>
        <w:tc>
          <w:tcPr>
            <w:tcW w:w="2160" w:type="dxa"/>
            <w:tcBorders/>
            <w:shd w:val="clear" w:color="auto" w:fill="4472C4"/>
          </w:tcPr>
          <w:p>
            <w:pPr>
              <w:pStyle w:val="Normal"/>
              <w:suppressAutoHyphens w:val="true"/>
              <w:spacing w:before="0" w:after="0"/>
              <w:jc w:val="start"/>
              <w:rPr>
                <w:rFonts w:ascii="Times New Roman" w:hAnsi="Times New Roman" w:cs="Times New Roman"/>
                <w:kern w:val="0"/>
                <w:lang w:bidi="ar-SA"/>
              </w:rPr>
            </w:pPr>
            <w:r>
              <w:rPr>
                <w:rFonts w:cs="Times New Roman"/>
                <w:b/>
                <w:color w:val="FFFFFF"/>
                <w:kern w:val="0"/>
                <w:sz w:val="24"/>
                <w:szCs w:val="24"/>
                <w:lang w:bidi="ar-SA"/>
              </w:rPr>
              <w:t>Fixed Threshold (0.85)</w:t>
            </w:r>
          </w:p>
        </w:tc>
        <w:tc>
          <w:tcPr>
            <w:tcW w:w="2160" w:type="dxa"/>
            <w:tcBorders/>
            <w:shd w:val="clear" w:color="auto" w:fill="4472C4"/>
          </w:tcPr>
          <w:p>
            <w:pPr>
              <w:pStyle w:val="Normal"/>
              <w:suppressAutoHyphens w:val="true"/>
              <w:spacing w:before="0" w:after="0"/>
              <w:jc w:val="start"/>
              <w:rPr>
                <w:rFonts w:ascii="Times New Roman" w:hAnsi="Times New Roman" w:cs="Times New Roman"/>
                <w:kern w:val="0"/>
                <w:lang w:bidi="ar-SA"/>
              </w:rPr>
            </w:pPr>
            <w:r>
              <w:rPr>
                <w:rFonts w:cs="Times New Roman"/>
                <w:b/>
                <w:color w:val="FFFFFF"/>
                <w:kern w:val="0"/>
                <w:sz w:val="24"/>
                <w:szCs w:val="24"/>
                <w:lang w:bidi="ar-SA"/>
              </w:rPr>
              <w:t>ACE (Adaptive)</w:t>
            </w:r>
          </w:p>
        </w:tc>
        <w:tc>
          <w:tcPr>
            <w:tcW w:w="2160" w:type="dxa"/>
            <w:tcBorders/>
            <w:shd w:val="clear" w:color="auto" w:fill="4472C4"/>
          </w:tcPr>
          <w:p>
            <w:pPr>
              <w:pStyle w:val="Normal"/>
              <w:suppressAutoHyphens w:val="true"/>
              <w:spacing w:before="0" w:after="0"/>
              <w:jc w:val="start"/>
              <w:rPr>
                <w:rFonts w:ascii="Times New Roman" w:hAnsi="Times New Roman" w:cs="Times New Roman"/>
                <w:kern w:val="0"/>
                <w:lang w:bidi="ar-SA"/>
              </w:rPr>
            </w:pPr>
            <w:r>
              <w:rPr>
                <w:rFonts w:cs="Times New Roman"/>
                <w:b/>
                <w:color w:val="FFFFFF"/>
                <w:kern w:val="0"/>
                <w:sz w:val="24"/>
                <w:szCs w:val="24"/>
                <w:lang w:bidi="ar-SA"/>
              </w:rPr>
              <w:t>Change</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Sorting Accuracy (Lab Dataset)</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100.00%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100.00%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0.00 pp</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MIR Activation Rate</w:t>
            </w:r>
          </w:p>
        </w:tc>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69.22%</w:t>
            </w:r>
          </w:p>
        </w:tc>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37.62%</w:t>
            </w:r>
          </w:p>
        </w:tc>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w:t>
            </w:r>
            <w:r>
              <w:rPr>
                <w:rFonts w:cs="Times New Roman"/>
                <w:kern w:val="0"/>
                <w:sz w:val="24"/>
                <w:szCs w:val="24"/>
                <w:lang w:bidi="ar-SA"/>
              </w:rPr>
              <w:t>31.60 pp</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False Escalations</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50.10%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18.50%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w:t>
            </w:r>
            <w:r>
              <w:rPr>
                <w:rFonts w:cs="Times New Roman"/>
                <w:kern w:val="0"/>
                <w:sz w:val="24"/>
                <w:szCs w:val="24"/>
                <w:lang w:bidi="ar-SA"/>
              </w:rPr>
              <w:t>31.60 pp</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Missed Escalations</w:t>
            </w:r>
          </w:p>
        </w:tc>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0.00%</w:t>
            </w:r>
          </w:p>
        </w:tc>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0.00%</w:t>
            </w:r>
          </w:p>
        </w:tc>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0.00 pp</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Energy Proxy (3× MIR cost)</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10,383</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5,643</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w:t>
            </w:r>
            <w:r>
              <w:rPr>
                <w:rFonts w:cs="Times New Roman"/>
                <w:kern w:val="0"/>
                <w:sz w:val="24"/>
                <w:szCs w:val="24"/>
                <w:lang w:bidi="ar-SA"/>
              </w:rPr>
              <w:t>45.6%</w:t>
            </w:r>
          </w:p>
        </w:tc>
      </w:tr>
      <w:tr>
        <w:trPr/>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Throughput (items/min)</w:t>
            </w:r>
          </w:p>
        </w:tc>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16.31</w:t>
            </w:r>
          </w:p>
        </w:tc>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17.04</w:t>
            </w:r>
          </w:p>
        </w:tc>
        <w:tc>
          <w:tcPr>
            <w:tcW w:w="2160" w:type="dxa"/>
            <w:tcBorders/>
            <w:shd w:val="clear" w:color="auto" w:fill="DEEAF1"/>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+4.5%</w:t>
            </w:r>
          </w:p>
        </w:tc>
      </w:tr>
    </w:tbl>
    <w:p>
      <w:pPr>
        <w:pStyle w:val="BodyText"/>
        <w:spacing w:lineRule="auto" w:line="276" w:before="0" w:after="160"/>
        <w:ind w:start="837"/>
        <w:jc w:val="both"/>
        <w:rPr/>
      </w:pPr>
      <w:r>
        <w:rPr>
          <w:sz w:val="24"/>
          <w:szCs w:val="24"/>
        </w:rPr>
        <w:br/>
        <w:t>Note 1: MIR accuracy of 100.00% on laboratory-grade spectra is consistent with prior published work (e.g., Serranti et al., 2012) under clean, controlled conditions and should not be extrapolated to field-contaminated samples without further validation.</w:t>
        <w:br/>
        <w:t>Note 2: The 0.00% missed escalation rate indicates that the ACE successfully identified all instances where NIR failed, reducing only false (wasteful) escalations without dropping necessary ones. The gap between MIR Activation Rate and False Escalations is identical (19.12 percentage points) for both systems, representing the true escalation rate.</w:t>
      </w:r>
    </w:p>
    <w:p>
      <w:pPr>
        <w:pStyle w:val="ListParagraph"/>
        <w:numPr>
          <w:ilvl w:val="0"/>
          <w:numId w:val="1"/>
        </w:numPr>
        <w:tabs>
          <w:tab w:val="clear" w:pos="720"/>
          <w:tab w:val="left" w:pos="462" w:leader="none"/>
        </w:tabs>
        <w:ind w:hanging="0" w:start="0"/>
        <w:jc w:val="both"/>
        <w:rPr>
          <w:b/>
          <w:sz w:val="24"/>
          <w:szCs w:val="24"/>
        </w:rPr>
      </w:pPr>
      <w:r>
        <w:rPr>
          <w:b/>
          <w:sz w:val="24"/>
          <w:szCs w:val="24"/>
        </w:rPr>
        <w:t>10. Best Method of Performance of the Invention:</w:t>
      </w:r>
      <w:r>
        <w:rPr>
          <w:b/>
          <w:spacing w:val="-1"/>
          <w:sz w:val="24"/>
          <w:szCs w:val="24"/>
        </w:rPr>
      </w:r>
      <w:r>
        <w:rPr>
          <w:b/>
          <w:sz w:val="24"/>
          <w:szCs w:val="24"/>
        </w:rPr>
      </w:r>
      <w:r>
        <w:rPr>
          <w:b/>
          <w:spacing w:val="-4"/>
          <w:sz w:val="24"/>
          <w:szCs w:val="24"/>
        </w:rPr>
      </w:r>
      <w:r>
        <w:rPr>
          <w:b/>
          <w:sz w:val="24"/>
          <w:szCs w:val="24"/>
        </w:rPr>
      </w:r>
      <w:r>
        <w:rPr>
          <w:b/>
          <w:spacing w:val="-4"/>
          <w:sz w:val="24"/>
          <w:szCs w:val="24"/>
        </w:rPr>
      </w:r>
      <w:r>
        <w:rPr>
          <w:b/>
          <w:sz w:val="24"/>
          <w:szCs w:val="24"/>
        </w:rPr>
      </w:r>
      <w:r>
        <w:rPr>
          <w:b/>
          <w:spacing w:val="-1"/>
          <w:sz w:val="24"/>
          <w:szCs w:val="24"/>
        </w:rPr>
      </w:r>
      <w:r>
        <w:rPr>
          <w:b/>
          <w:sz w:val="24"/>
          <w:szCs w:val="24"/>
        </w:rPr>
      </w:r>
      <w:r>
        <w:rPr>
          <w:b/>
          <w:spacing w:val="-4"/>
          <w:sz w:val="24"/>
          <w:szCs w:val="24"/>
        </w:rPr>
      </w:r>
      <w:r>
        <w:rPr>
          <w:b/>
          <w:sz w:val="24"/>
          <w:szCs w:val="24"/>
        </w:rPr>
      </w:r>
      <w:r>
        <w:rPr>
          <w:b/>
          <w:spacing w:val="-1"/>
          <w:sz w:val="24"/>
          <w:szCs w:val="24"/>
        </w:rPr>
      </w:r>
      <w:r>
        <w:rPr>
          <w:b/>
          <w:sz w:val="24"/>
          <w:szCs w:val="24"/>
        </w:rPr>
      </w:r>
    </w:p>
    <w:p>
      <w:pPr>
        <w:pStyle w:val="BodyText"/>
        <w:spacing w:lineRule="auto" w:line="276" w:before="0" w:after="160"/>
        <w:ind w:start="837"/>
        <w:jc w:val="both"/>
        <w:rPr/>
      </w:pPr>
      <w:r>
        <w:rPr>
          <w:sz w:val="24"/>
          <w:szCs w:val="24"/>
        </w:rPr>
        <w:t>In the preferred embodiment, the system operates as follows:</w:t>
        <w:br/>
        <w:br/>
        <w:t>1. A mixed waste stream enters via the input hopper (12) onto the conveyor belt (10) moving at 0.25 m/s.</w:t>
        <w:br/>
        <w:br/>
        <w:t>2. The RGB camera (22) captures each article at 30 FPS (camera capture rate); the GPU inference pipeline processes frames at up to 40 FPS (24.96 ms median detection latency). The YOLOv11s detection model identifies and classifies the item within 25 ms. Non-plastic items are diverted by the robotic arm (30) into the appropriate bin (34a–34e).</w:t>
        <w:br/>
        <w:br/>
        <w:t>3. For plastic items, the EFP module evaluates six exclusively vision-derived and environmental features. If the EFP failure probability exceeds 0.60, the item is routed directly to MIR (60), bypassing NIR.</w:t>
        <w:br/>
        <w:br/>
        <w:t>4. During NIR acquisition (for items not bypassed), if the mean NIR reflectance is below 0.08, the item is routed to MIR as an early-exit bypass.</w:t>
        <w:br/>
        <w:br/>
        <w:t>5. Otherwise, the NIR spectrometer (42) captures a 232-band spectrum. The SVM classifier predicts the polymer type with a confidence score.</w:t>
        <w:br/>
        <w:br/>
        <w:t>6. The ACE processor (50) constructs the 17-feature context vector and computes P(MIR_needed) using the trained XGBoost model. The adaptive threshold T is calculated as T = 0.70 + 0.25 × P(MIR_needed).</w:t>
        <w:br/>
        <w:br/>
        <w:t>7. If NIR confidence ≥ T, the NIR classification is accepted. If NIR confidence &lt; T, the MIR/FTIR spectrometer (62) is activated for secondary verification.</w:t>
        <w:br/>
        <w:br/>
        <w:t>8. The final polymer classification routes the article to the correct polymer bin (74a–74f) via pneumatic diverter gates (72a–72f).</w:t>
        <w:br/>
        <w:br/>
        <w:t>9. The complete prediction context is logged to the feedback database (80) for continuous model improvement.</w:t>
        <w:br/>
        <w:br/>
        <w:t>The computational processing latency is approximately 39.11 ms per item (excluding physical sensor acquisition and mechanical actuation times). The demonstrated mechanical system throughput is approximately 17 items per minute under the specified conveyor spacing, sensor acquisition delays, and sorting conditions.</w:t>
      </w:r>
    </w:p>
    <w:p>
      <w:pPr>
        <w:pStyle w:val="ListParagraph"/>
        <w:numPr>
          <w:ilvl w:val="0"/>
          <w:numId w:val="1"/>
        </w:numPr>
        <w:spacing w:before="90" w:after="0"/>
        <w:ind w:hanging="0" w:start="0"/>
        <w:jc w:val="both"/>
        <w:rPr>
          <w:b/>
          <w:sz w:val="24"/>
          <w:szCs w:val="24"/>
        </w:rPr>
      </w:pPr>
      <w:r>
        <w:rPr>
          <w:b/>
          <w:sz w:val="24"/>
          <w:szCs w:val="24"/>
        </w:rPr>
        <w:t>11. CLAIMS:</w:t>
      </w:r>
    </w:p>
    <w:p>
      <w:pPr>
        <w:pStyle w:val="BodyText"/>
        <w:spacing w:lineRule="auto" w:line="276" w:before="0" w:after="160"/>
        <w:ind w:start="837"/>
        <w:jc w:val="both"/>
        <w:rPr/>
      </w:pPr>
      <w:r>
        <w:rPr>
          <w:b/>
          <w:sz w:val="24"/>
          <w:szCs w:val="24"/>
        </w:rPr>
        <w:t xml:space="preserve">Claim 1. </w:t>
      </w:r>
      <w:r>
        <w:rPr>
          <w:sz w:val="24"/>
          <w:szCs w:val="24"/>
        </w:rPr>
        <w:t>An automated plastic waste sorting system comprising:</w:t>
        <w:br/>
        <w:t xml:space="preserve">   a) a linear conveyor mechanism (10) for transporting waste articles;</w:t>
        <w:br/>
        <w:t xml:space="preserve">   b) a machine vision subsystem (20) comprising an RGB image sensor (22) and a trained deep neural network object detector for classifying articles into at least plastic and non-plastic categories;</w:t>
        <w:br/>
        <w:t xml:space="preserve">   c) a first robotic manipulator (30) for diverting non-plastic articles into designated receptacles (34a–34e);</w:t>
        <w:br/>
        <w:t xml:space="preserve">   d) an Expected Failure Predictor module configured to evaluate exclusively visual and environmental features of a plastic article and predict a probability of primary sensor failure prior to spectral acquisition;</w:t>
        <w:br/>
        <w:t xml:space="preserve">   e) a primary spectral sensing module (40) comprising a near-infrared spectrometer (42) for capturing spectral data from plastic articles and a first machine learning classifier for predicting polymer type with an associated confidence score;</w:t>
        <w:br/>
        <w:t xml:space="preserve">   f) an Adaptive Confidence Engine processor (50) comprising a trained gradient-boosted decision tree model that receives a multi-dimensional context vector derived from spectral, visual, environmental, and system-state inputs, and outputs a per-item adaptive escalation threshold;</w:t>
        <w:br/>
        <w:t xml:space="preserve">   g) a secondary spectral sensing module (60) comprising a mid-infrared FTIR spectrometer (62) selectively activated when the confidence score from the primary spectral sensing module (40) falls below the adaptive escalation threshold computed by the Adaptive Confidence Engine processor (50);</w:t>
        <w:br/>
        <w:t xml:space="preserve">   h) a polymer sorting mechanism (70) for directing classified plastic articles into polymer-specific collection bins (74a–74f); and</w:t>
        <w:br/>
        <w:t xml:space="preserve">   i) a feedback database module (80) for recording prediction outcomes and enabling continuous refinement of the Adaptive Confidence Engine model.</w:t>
      </w:r>
    </w:p>
    <w:p>
      <w:pPr>
        <w:pStyle w:val="BodyText"/>
        <w:spacing w:lineRule="auto" w:line="276" w:before="0" w:after="160"/>
        <w:ind w:start="837"/>
        <w:jc w:val="both"/>
        <w:rPr/>
      </w:pPr>
      <w:r>
        <w:rPr>
          <w:b/>
          <w:sz w:val="24"/>
          <w:szCs w:val="24"/>
        </w:rPr>
        <w:t xml:space="preserve">Claim 2. </w:t>
      </w:r>
      <w:r>
        <w:rPr>
          <w:sz w:val="24"/>
          <w:szCs w:val="24"/>
        </w:rPr>
        <w:t>The system of Claim 1, wherein the Adaptive Confidence Engine processor (50) computes the adaptive escalation threshold according to the formula:</w:t>
        <w:br/>
        <w:t xml:space="preserve">   T = T_base + α × P(MIR_needed)</w:t>
        <w:br/>
        <w:t>where T_base is 0.70, α is 0.25, and P(MIR_needed) is the probability output of the trained gradient-boosted decision tree model predicting whether secondary spectral sensing is required for the current article.</w:t>
      </w:r>
    </w:p>
    <w:p>
      <w:pPr>
        <w:pStyle w:val="BodyText"/>
        <w:spacing w:lineRule="auto" w:line="276" w:before="0" w:after="160"/>
        <w:ind w:start="837"/>
        <w:jc w:val="both"/>
        <w:rPr/>
      </w:pPr>
      <w:r>
        <w:rPr>
          <w:b/>
          <w:sz w:val="24"/>
          <w:szCs w:val="24"/>
        </w:rPr>
        <w:t xml:space="preserve">Claim 3. </w:t>
      </w:r>
      <w:r>
        <w:rPr>
          <w:sz w:val="24"/>
          <w:szCs w:val="24"/>
        </w:rPr>
        <w:t>The system of Claim 1, wherein the multi-dimensional context vector comprises at least: NIR classifier confidence, NIR confidence margin, spectral reflectance mean, spectral reflectance variance, spectral entropy, object hue from RGB imaging, object brightness from RGB imaging, object size from detection bounding box, object aspect ratio, ambient light intensity, sensor operating temperature, relative humidity, conveyor belt speed, predicted polymer class encoding, recent MIR activation rate, camera noise level, and sensor drift index.</w:t>
      </w:r>
    </w:p>
    <w:p>
      <w:pPr>
        <w:pStyle w:val="BodyText"/>
        <w:spacing w:lineRule="auto" w:line="276" w:before="0" w:after="160"/>
        <w:ind w:start="837"/>
        <w:jc w:val="both"/>
        <w:rPr/>
      </w:pPr>
      <w:r>
        <w:rPr>
          <w:b/>
          <w:sz w:val="24"/>
          <w:szCs w:val="24"/>
        </w:rPr>
        <w:t xml:space="preserve">Claim 4. </w:t>
      </w:r>
      <w:r>
        <w:rPr>
          <w:sz w:val="24"/>
          <w:szCs w:val="24"/>
        </w:rPr>
        <w:t>The system of Claim 1, wherein the Expected Failure Predictor module is configured to evaluate exclusively visual and environmental features of a plastic article and predict a probability of NIR sensor failure, wherein the system bypasses the primary spectral sensing module (40) and routes the article directly to the secondary spectral sensing module (60) when the predicted failure probability exceeds a predetermined threshold or when the mean NIR reflectance intensity of the article falls below a minimum reflectance threshold.</w:t>
      </w:r>
    </w:p>
    <w:p>
      <w:pPr>
        <w:pStyle w:val="BodyText"/>
        <w:spacing w:lineRule="auto" w:line="276" w:before="0" w:after="160"/>
        <w:ind w:start="837"/>
        <w:jc w:val="both"/>
        <w:rPr/>
      </w:pPr>
      <w:r>
        <w:rPr>
          <w:b/>
          <w:sz w:val="24"/>
          <w:szCs w:val="24"/>
        </w:rPr>
        <w:t xml:space="preserve">Claim 5. </w:t>
      </w:r>
      <w:r>
        <w:rPr>
          <w:sz w:val="24"/>
          <w:szCs w:val="24"/>
        </w:rPr>
        <w:t>The system of Claim 1, wherein the feedback database module (80) records, for each processed article, the complete context vector, classifier confidence scores, computed adaptive threshold, escalation decision, sensors activated, and final polymer classification, and wherein the recorded data is used for periodic offline retraining of the Adaptive Confidence Engine model to progressively replace initial synthetic training data with real operational data.</w:t>
      </w:r>
    </w:p>
    <w:p>
      <w:pPr>
        <w:pStyle w:val="BodyText"/>
        <w:spacing w:lineRule="auto" w:line="276" w:before="0" w:after="160"/>
        <w:ind w:start="837"/>
        <w:jc w:val="both"/>
        <w:rPr/>
      </w:pPr>
      <w:r>
        <w:rPr>
          <w:b/>
          <w:sz w:val="24"/>
          <w:szCs w:val="24"/>
        </w:rPr>
        <w:t xml:space="preserve">Claim 6. </w:t>
      </w:r>
      <w:r>
        <w:rPr>
          <w:sz w:val="24"/>
          <w:szCs w:val="24"/>
        </w:rPr>
        <w:t>The system of Claim 1, wherein the system generates a Material Processing Record for each processed article comprising a unique identifier, timestamp, inferred polymer type, confidence score, uncertainty score, material complexity class, list of activated sensors, anomaly flag, and destination bin assignment.</w:t>
      </w:r>
    </w:p>
    <w:p>
      <w:pPr>
        <w:pStyle w:val="BodyText"/>
        <w:spacing w:lineRule="auto" w:line="276" w:before="0" w:after="160"/>
        <w:ind w:start="837"/>
        <w:jc w:val="both"/>
        <w:rPr/>
      </w:pPr>
      <w:r>
        <w:rPr>
          <w:b/>
          <w:sz w:val="24"/>
          <w:szCs w:val="24"/>
        </w:rPr>
        <w:t xml:space="preserve">Claim 7. </w:t>
      </w:r>
      <w:r>
        <w:rPr>
          <w:sz w:val="24"/>
          <w:szCs w:val="24"/>
        </w:rPr>
        <w:t>A method of automated plastic waste sorting comprising the steps of:</w:t>
        <w:br/>
        <w:t xml:space="preserve">   a) detecting and classifying a waste article using a machine vision deep neural network;</w:t>
        <w:br/>
        <w:t xml:space="preserve">   b) if the article is classified as plastic, evaluating whether a primary NIR spectral sensor is likely to fail using a predictive failure model;</w:t>
        <w:br/>
        <w:t xml:space="preserve">   c) if primary sensor failure is predicted, routing the article directly to a secondary MIR/FTIR spectral sensor;</w:t>
        <w:br/>
        <w:t xml:space="preserve">   d) if primary sensor failure is not predicted, acquiring a NIR spectral signature and classifying the polymer type with an associated confidence score;</w:t>
        <w:br/>
        <w:t xml:space="preserve">   e) constructing a multi-dimensional context vector from spectral, visual, environmental, and system-state inputs;</w:t>
        <w:br/>
        <w:t xml:space="preserve">   f) computing an adaptive escalation threshold T according to the formula T = 0.70 + 0.25 × P(MIR_needed), where P(MIR_needed) is the probability output of a trained machine learning model applied to the context vector;</w:t>
        <w:br/>
        <w:t xml:space="preserve">   g) comparing the NIR confidence score against the adaptive escalation threshold;</w:t>
        <w:br/>
        <w:t xml:space="preserve">   h) selectively activating a secondary MIR/FTIR spectral sensor only when the NIR confidence score falls below the adaptive escalation threshold;</w:t>
        <w:br/>
        <w:t xml:space="preserve">   i) sorting the article into a polymer-specific bin based on the final classification; and</w:t>
        <w:br/>
        <w:t xml:space="preserve">   j) recording the prediction context and outcome in a feedback database for continuous model improvement.</w:t>
      </w:r>
    </w:p>
    <w:p>
      <w:pPr>
        <w:pStyle w:val="BodyText"/>
        <w:spacing w:lineRule="auto" w:line="276" w:before="0" w:after="160"/>
        <w:ind w:start="837"/>
        <w:jc w:val="both"/>
        <w:rPr/>
      </w:pPr>
      <w:r>
        <w:rPr>
          <w:b/>
          <w:sz w:val="24"/>
          <w:szCs w:val="24"/>
        </w:rPr>
        <w:t xml:space="preserve">Claim 8. </w:t>
      </w:r>
      <w:r>
        <w:rPr>
          <w:sz w:val="24"/>
          <w:szCs w:val="24"/>
        </w:rPr>
        <w:t>The method of Claim 7, wherein the trained Adaptive Confidence Engine is configured such that, based on the learned feature relationships, the computed escalation threshold tends to increase in response to environmental conditions empirically associated with reduced NIR reliability, specifically ambient illumination below 200 lux, sensor temperature above 40°C, and relative humidity above 80%.</w:t>
      </w:r>
    </w:p>
    <w:p>
      <w:pPr>
        <w:pStyle w:val="ListParagraph"/>
        <w:numPr>
          <w:ilvl w:val="0"/>
          <w:numId w:val="1"/>
        </w:numPr>
        <w:tabs>
          <w:tab w:val="clear" w:pos="720"/>
          <w:tab w:val="left" w:pos="463" w:leader="none"/>
        </w:tabs>
        <w:spacing w:before="1" w:after="0"/>
        <w:ind w:hanging="0" w:start="0"/>
        <w:jc w:val="both"/>
        <w:rPr>
          <w:b/>
          <w:sz w:val="24"/>
          <w:szCs w:val="24"/>
        </w:rPr>
      </w:pPr>
      <w:r>
        <w:rPr>
          <w:b/>
          <w:sz w:val="24"/>
          <w:szCs w:val="24"/>
        </w:rPr>
        <w:t>12. Inventive Step of the Invention:</w:t>
      </w:r>
      <w:r>
        <w:rPr>
          <w:b/>
          <w:spacing w:val="-3"/>
          <w:sz w:val="24"/>
          <w:szCs w:val="24"/>
        </w:rPr>
      </w:r>
      <w:r>
        <w:rPr>
          <w:b/>
          <w:sz w:val="24"/>
          <w:szCs w:val="24"/>
        </w:rPr>
      </w:r>
      <w:r>
        <w:rPr>
          <w:b/>
          <w:spacing w:val="-2"/>
          <w:sz w:val="24"/>
          <w:szCs w:val="24"/>
        </w:rPr>
      </w:r>
      <w:r>
        <w:rPr>
          <w:b/>
          <w:sz w:val="24"/>
          <w:szCs w:val="24"/>
        </w:rPr>
      </w:r>
      <w:r>
        <w:rPr>
          <w:b/>
          <w:spacing w:val="-3"/>
          <w:sz w:val="24"/>
          <w:szCs w:val="24"/>
        </w:rPr>
      </w:r>
      <w:r>
        <w:rPr>
          <w:b/>
          <w:sz w:val="24"/>
          <w:szCs w:val="24"/>
        </w:rPr>
      </w:r>
      <w:r>
        <w:rPr>
          <w:b/>
          <w:spacing w:val="-2"/>
          <w:sz w:val="24"/>
          <w:szCs w:val="24"/>
        </w:rPr>
      </w:r>
      <w:r>
        <w:rPr>
          <w:b/>
          <w:sz w:val="24"/>
          <w:szCs w:val="24"/>
        </w:rPr>
      </w:r>
    </w:p>
    <w:p>
      <w:pPr>
        <w:pStyle w:val="BodyText"/>
        <w:spacing w:lineRule="auto" w:line="276" w:before="0" w:after="160"/>
        <w:ind w:start="837"/>
        <w:jc w:val="both"/>
        <w:rPr/>
      </w:pPr>
      <w:r>
        <w:rPr>
          <w:sz w:val="24"/>
          <w:szCs w:val="24"/>
        </w:rPr>
        <w:t>The inventive step of the present invention lies in the following specific, non-obvious technical contributions that collectively achieve a measurable technical effect beyond what is taught or suggested by the prior art:</w:t>
      </w:r>
    </w:p>
    <w:p>
      <w:pPr>
        <w:pStyle w:val="BodyText"/>
        <w:spacing w:lineRule="auto" w:line="276" w:before="0" w:after="160"/>
        <w:ind w:start="837"/>
        <w:jc w:val="both"/>
        <w:rPr/>
      </w:pPr>
      <w:r>
        <w:rPr>
          <w:b/>
          <w:sz w:val="24"/>
          <w:szCs w:val="24"/>
        </w:rPr>
        <w:t xml:space="preserve">1. Adaptive Per-Item Threshold Prediction: </w:t>
      </w:r>
      <w:r>
        <w:rPr>
          <w:sz w:val="24"/>
          <w:szCs w:val="24"/>
        </w:rPr>
        <w:t>Unlike prior systems that use a single, manually-tuned, static confidence threshold (typically 0.85) for all items regardless of context, the ACE learns to predict the optimal threshold for each individual item. This is not a trivial extension of the fixed threshold concept — it requires the specific 17-dimensional feature engineering, the specific threshold formula (T = 0.70 + 0.25 × P(MIR_needed)), and the gradient-boosted decision tree architecture to achieve the demonstrated performance.</w:t>
      </w:r>
    </w:p>
    <w:p>
      <w:pPr>
        <w:pStyle w:val="BodyText"/>
        <w:spacing w:lineRule="auto" w:line="276" w:before="0" w:after="160"/>
        <w:ind w:start="837"/>
        <w:jc w:val="both"/>
        <w:rPr/>
      </w:pPr>
      <w:r>
        <w:rPr>
          <w:b/>
          <w:sz w:val="24"/>
          <w:szCs w:val="24"/>
        </w:rPr>
        <w:t xml:space="preserve">2. 17-Dimensional Multi-Modal Context Vector: </w:t>
      </w:r>
      <w:r>
        <w:rPr>
          <w:sz w:val="24"/>
          <w:szCs w:val="24"/>
        </w:rPr>
        <w:t>The specific composition of the 17-feature context vector — spanning NIR spectral features, RGB visual features, environmental sensor data, and system operational state — is a novel engineering contribution. The inventors have not identified, in the prior art reviewed to date, a system in the waste sorting domain that combines these specific signal modalities into a single decision vector for sensor cascade management.</w:t>
      </w:r>
    </w:p>
    <w:p>
      <w:pPr>
        <w:pStyle w:val="BodyText"/>
        <w:spacing w:lineRule="auto" w:line="276" w:before="0" w:after="160"/>
        <w:ind w:start="837"/>
        <w:jc w:val="both"/>
        <w:rPr/>
      </w:pPr>
      <w:r>
        <w:rPr>
          <w:b/>
          <w:sz w:val="24"/>
          <w:szCs w:val="24"/>
        </w:rPr>
        <w:t xml:space="preserve">3. Proactive Expected Failure Prediction: </w:t>
      </w:r>
      <w:r>
        <w:rPr>
          <w:sz w:val="24"/>
          <w:szCs w:val="24"/>
        </w:rPr>
        <w:t>The EFP module's ability to predict NIR failure before engaging the sensor — using RGB-derived features combined with environmental context — represents a novel anticipatory capability that has not been identified by the inventors in the reviewed prior art for dual-sensor waste sorting systems.</w:t>
      </w:r>
    </w:p>
    <w:p>
      <w:pPr>
        <w:pStyle w:val="BodyText"/>
        <w:spacing w:lineRule="auto" w:line="276" w:before="0" w:after="160"/>
        <w:ind w:start="837"/>
        <w:jc w:val="both"/>
        <w:rPr/>
      </w:pPr>
      <w:r>
        <w:rPr>
          <w:b/>
          <w:sz w:val="24"/>
          <w:szCs w:val="24"/>
        </w:rPr>
        <w:t xml:space="preserve">4. Closed-Loop Continuous Learning: </w:t>
      </w:r>
      <w:r>
        <w:rPr>
          <w:sz w:val="24"/>
          <w:szCs w:val="24"/>
        </w:rPr>
        <w:t>The feedback database with structured recording of every prediction context and outcome, enabling periodic retraining, creates a self-improving system that progressively adapts to the specific waste stream characteristics of the deployment site — a capability not taught in prior waste sorting patents.</w:t>
      </w:r>
    </w:p>
    <w:p>
      <w:pPr>
        <w:pStyle w:val="BodyText"/>
        <w:spacing w:lineRule="auto" w:line="276" w:before="0" w:after="160"/>
        <w:ind w:start="837"/>
        <w:jc w:val="both"/>
        <w:rPr/>
      </w:pPr>
      <w:r>
        <w:rPr>
          <w:b/>
          <w:sz w:val="24"/>
          <w:szCs w:val="24"/>
        </w:rPr>
        <w:t xml:space="preserve">5. Quantified Technical Effect: </w:t>
      </w:r>
      <w:r>
        <w:rPr>
          <w:sz w:val="24"/>
          <w:szCs w:val="24"/>
        </w:rPr>
        <w:t>The combination of these contributions produces a measurable, non-obvious technical effect: a reduction from 69.22% (fixed threshold) to 37.62% (ACE), achieving 45.6% energy savings (proxy model: 3× MIR cost) and 4.5% throughput improvement (from 16.31 to 17.04 items/min), maintaining 100% classification accuracy on the evaluated laboratory test datasets (note: field performance may vary). These quantified improvements establish that the invention produces a real technical effect beyond a 'computer program per se.'</w:t>
      </w:r>
    </w:p>
    <w:p>
      <w:pPr>
        <w:pStyle w:val="ListParagraph"/>
        <w:numPr>
          <w:ilvl w:val="0"/>
          <w:numId w:val="1"/>
        </w:numPr>
        <w:tabs>
          <w:tab w:val="clear" w:pos="720"/>
          <w:tab w:val="left" w:pos="463" w:leader="none"/>
        </w:tabs>
        <w:spacing w:before="1" w:after="0"/>
        <w:ind w:hanging="0" w:start="0"/>
        <w:jc w:val="both"/>
        <w:rPr>
          <w:b/>
          <w:sz w:val="24"/>
          <w:szCs w:val="24"/>
        </w:rPr>
      </w:pPr>
      <w:r>
        <w:rPr>
          <w:b/>
          <w:sz w:val="24"/>
          <w:szCs w:val="24"/>
        </w:rPr>
        <w:t>13. Industrial Application:</w:t>
      </w:r>
      <w:r>
        <w:rPr>
          <w:b/>
          <w:spacing w:val="-3"/>
          <w:sz w:val="24"/>
          <w:szCs w:val="24"/>
        </w:rPr>
      </w:r>
      <w:r>
        <w:rPr>
          <w:b/>
          <w:sz w:val="24"/>
          <w:szCs w:val="24"/>
        </w:rPr>
      </w:r>
    </w:p>
    <w:p>
      <w:pPr>
        <w:pStyle w:val="ListParagraph"/>
        <w:spacing w:lineRule="auto" w:line="276" w:before="0" w:after="160"/>
        <w:ind w:hanging="361" w:start="837"/>
        <w:jc w:val="both"/>
        <w:rPr/>
      </w:pPr>
      <w:r>
        <w:rPr>
          <w:sz w:val="24"/>
          <w:szCs w:val="24"/>
        </w:rPr>
        <w:t xml:space="preserve">     </w:t>
      </w:r>
      <w:r>
        <w:rPr>
          <w:sz w:val="24"/>
          <w:szCs w:val="24"/>
        </w:rPr>
        <w:t>The present invention finds direct industrial application in the following fields:</w:t>
        <w:br/>
        <w:br/>
        <w:t>1. Municipal Solid Waste (MSW) Material Recovery Facilities (MRFs): The system can be deployed in existing waste sorting plants to automate the segregation of mixed plastic waste into polymer-specific streams, increasing recycling yield and purity.</w:t>
        <w:br/>
        <w:br/>
        <w:t>2. Plastic Recycling Plants: The invention enables polymer-specific sorting required for closed-loop recycling, where mixing polymer types during reprocessing degrades material quality. The six-polymer identification capability (PET, HDPE, PVC, LDPE, PP, PS) covers the commercially significant resin types.</w:t>
        <w:br/>
        <w:br/>
        <w:t>3. Extended Producer Responsibility (EPR) Compliance: The Material Processing Record and feedback database provide auditable records of waste processing outcomes, supporting auditability and documentation for applicable regulatory requirements.</w:t>
        <w:br/>
        <w:br/>
        <w:t>4. Industrial E-Waste Sorting: The adaptive multi-sensor approach can be extended to electronic waste sorting where material identification under varying conditions is similarly challenging.</w:t>
        <w:br/>
        <w:br/>
        <w:t>5. Smart City Infrastructure: Integration with IoT-enabled waste management systems for real-time monitoring, predictive maintenance, and optimisation of sorting operations.</w:t>
        <w:br/>
        <w:br/>
        <w:t>The system's demonstrated throughput of 17 items per minute with an end-to-end latency of 39.11 ms per item and peak GPU memory usage of 234.5 MB makes it suitable for deployment on edge computing hardware (e.g., NVIDIA Jetson AGX Orin) in industrial environments.</w:t>
      </w:r>
    </w:p>
    <w:p>
      <w:pPr>
        <w:pStyle w:val="ListParagraph"/>
        <w:numPr>
          <w:ilvl w:val="0"/>
          <w:numId w:val="1"/>
        </w:numPr>
        <w:tabs>
          <w:tab w:val="clear" w:pos="720"/>
          <w:tab w:val="left" w:pos="463" w:leader="none"/>
        </w:tabs>
        <w:spacing w:before="1" w:after="0"/>
        <w:ind w:hanging="0" w:start="0"/>
        <w:jc w:val="both"/>
        <w:rPr>
          <w:b/>
          <w:sz w:val="24"/>
          <w:szCs w:val="24"/>
        </w:rPr>
      </w:pPr>
      <w:r>
        <w:rPr>
          <w:b/>
          <w:sz w:val="24"/>
          <w:szCs w:val="24"/>
        </w:rPr>
        <w:t>14. Abstract:</w:t>
      </w:r>
    </w:p>
    <w:p>
      <w:pPr>
        <w:pStyle w:val="ListParagraph"/>
        <w:spacing w:lineRule="auto" w:line="276" w:before="0" w:after="160"/>
        <w:ind w:hanging="361" w:start="837"/>
        <w:jc w:val="both"/>
        <w:rPr/>
      </w:pPr>
      <w:r>
        <w:rPr>
          <w:sz w:val="24"/>
          <w:szCs w:val="24"/>
        </w:rPr>
        <w:t xml:space="preserve">      </w:t>
      </w:r>
      <w:r>
        <w:rPr>
          <w:sz w:val="24"/>
          <w:szCs w:val="24"/>
        </w:rPr>
        <w:t>An automated plastic waste sorting system and method incorporating an Adaptive Confidence Engine (ACE) for intelligent sensor cascade management is disclosed. The system comprises a machine vision subsystem with a deep neural network detector for macro-classification, a near-infrared (NIR) spectrometer with a Support Vector Machine classifier for primary polymer identification, and a mid-infrared (MIR) FTIR spectrometer with a Random Forest classifier for secondary verification of difficult samples. The ACE — a gradient-boosted decision tree model operating on a 17-dimensional context vector spanning spectral, visual, environmental, and system-state features — replaces the conventional fixed confidence threshold with a per-item adaptive escalation threshold computed as T = T_base + α × P(MIR_needed). An Expected Failure Predictor proactively routes carbon-black-doped plastics directly to MIR sensing. A feedback database enables continuous model refinement. Experimental evaluation demonstrates that the ACE reduces unnecessary MIR activations by 31.60 percentage points compared to a fixed threshold, achieving 45.6% energy savings and 4.5% throughput improvement, maintaining 100% classification accuracy on the evaluated laboratory test datasets (note: field performance may vary). The system achieves 97.12% NIR polymer identification accuracy and processes items at 39.11 ms per-item pipeline latency.</w:t>
      </w:r>
    </w:p>
    <w:p>
      <w:pPr>
        <w:pStyle w:val="ListParagraph"/>
        <w:numPr>
          <w:ilvl w:val="0"/>
          <w:numId w:val="1"/>
        </w:numPr>
        <w:tabs>
          <w:tab w:val="clear" w:pos="720"/>
          <w:tab w:val="left" w:pos="463" w:leader="none"/>
        </w:tabs>
        <w:spacing w:before="1" w:after="0"/>
        <w:ind w:hanging="0" w:start="0"/>
        <w:jc w:val="both"/>
        <w:rPr>
          <w:b/>
          <w:bCs/>
        </w:rPr>
      </w:pPr>
      <w:r>
        <w:rPr>
          <w:b/>
          <w:sz w:val="24"/>
          <w:szCs w:val="24"/>
        </w:rPr>
        <w:t>Drawing</w:t>
      </w:r>
    </w:p>
    <w:p>
      <w:pPr>
        <w:pStyle w:val="ListParagraph"/>
        <w:spacing w:lineRule="auto" w:line="276" w:before="0" w:after="160"/>
        <w:ind w:hanging="361" w:start="837"/>
        <w:jc w:val="both"/>
        <w:rPr/>
      </w:pPr>
      <w:r>
        <w:rPr>
          <w:i/>
          <w:sz w:val="24"/>
          <w:szCs w:val="24"/>
        </w:rPr>
        <w:t xml:space="preserve">       </w:t>
      </w:r>
      <w:r>
        <w:rPr>
          <w:i/>
          <w:sz w:val="24"/>
          <w:szCs w:val="24"/>
        </w:rPr>
        <w:t>Note: As per patent drawing conventions, the drawing below uses only numerical reference labels. No textual labels appear on the drawing itself. All reference numerals are described in Section 8 (Brief Description of Drawings) above.</w:t>
        <w:br/>
        <w:br/>
        <w:t>[ACTION REQUIRED BEFORE SUBMISSION: Insert the formal patent drawing (Figure 1) here. The drawing must show the complete system architecture with all reference numerals (10, 12, 20, 22, 24, 30, 32, 34a-34e, 40, 42, 50, 52, 54, 56, 60, 62, 70, 72a-72f, 74a-74f, 80) labeled in compliance with Indian patent drawing regulations. The system architecture diagram from docs/system_architecture.png in the GitHub repository can be used as a basis for this drawing, with reference numerals added.]</w:t>
      </w:r>
    </w:p>
    <w:p>
      <w:pPr>
        <w:pStyle w:val="ListParagraph"/>
        <w:spacing w:lineRule="auto" w:line="276" w:before="0" w:after="160"/>
        <w:ind w:hanging="361" w:start="837"/>
        <w:jc w:val="end"/>
        <w:rPr/>
      </w:pPr>
      <w:r>
        <w:rPr>
          <w:b/>
          <w:sz w:val="24"/>
          <w:szCs w:val="24"/>
        </w:rPr>
        <w:t>Figure 1</w:t>
      </w:r>
    </w:p>
    <w:p>
      <w:pPr>
        <w:pStyle w:val="ListParagraph"/>
        <w:spacing w:lineRule="auto" w:line="276" w:before="0" w:after="160"/>
        <w:jc w:val="center"/>
        <w:rPr/>
      </w:pPr>
      <w:r>
        <w:rPr/>
        <w:drawing>
          <wp:inline distT="0" distB="0" distL="0" distR="0">
            <wp:extent cx="5943600" cy="3962400"/>
            <wp:effectExtent l="0" t="0" r="0" b="0"/>
            <wp:docPr id="2" name="Picture 40744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07446300"/>
                    <pic:cNvPicPr>
                      <a:picLocks noChangeAspect="1" noChangeArrowheads="1"/>
                    </pic:cNvPicPr>
                  </pic:nvPicPr>
                  <pic:blipFill>
                    <a:blip r:embed="rId3"/>
                    <a:stretch>
                      <a:fillRect/>
                    </a:stretch>
                  </pic:blipFill>
                  <pic:spPr bwMode="auto">
                    <a:xfrm>
                      <a:off x="0" y="0"/>
                      <a:ext cx="5943600" cy="3962400"/>
                    </a:xfrm>
                    <a:prstGeom prst="rect">
                      <a:avLst/>
                    </a:prstGeom>
                    <a:noFill/>
                  </pic:spPr>
                </pic:pic>
              </a:graphicData>
            </a:graphic>
          </wp:inline>
        </w:drawing>
      </w:r>
    </w:p>
    <w:sectPr>
      <w:type w:val="nextPage"/>
      <w:pgSz w:w="12240" w:h="16340"/>
      <w:pgMar w:left="1440" w:right="1440" w:gutter="0" w:header="0" w:top="1440" w:footer="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imSu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36" w:hanging="360"/>
      </w:pPr>
      <w:rPr>
        <w:b/>
        <w:bCs/>
        <w:w w:val="100"/>
        <w:u w:val="none"/>
        <w:lang w:val="en-US" w:eastAsia="en-US" w:bidi="ar-SA"/>
      </w:rPr>
    </w:lvl>
    <w:lvl w:ilvl="1">
      <w:start w:val="0"/>
      <w:numFmt w:val="bullet"/>
      <w:lvlText w:val=""/>
      <w:lvlJc w:val="start"/>
      <w:pPr>
        <w:tabs>
          <w:tab w:val="num" w:pos="0"/>
        </w:tabs>
        <w:ind w:start="1782" w:hanging="360"/>
      </w:pPr>
      <w:rPr>
        <w:rFonts w:ascii="Symbol" w:hAnsi="Symbol" w:cs="Symbol" w:hint="default"/>
        <w:lang w:val="en-US" w:eastAsia="en-US" w:bidi="ar-SA"/>
      </w:rPr>
    </w:lvl>
    <w:lvl w:ilvl="2">
      <w:start w:val="0"/>
      <w:numFmt w:val="bullet"/>
      <w:lvlText w:val=""/>
      <w:lvlJc w:val="start"/>
      <w:pPr>
        <w:tabs>
          <w:tab w:val="num" w:pos="0"/>
        </w:tabs>
        <w:ind w:start="2724" w:hanging="360"/>
      </w:pPr>
      <w:rPr>
        <w:rFonts w:ascii="Symbol" w:hAnsi="Symbol" w:cs="Symbol" w:hint="default"/>
        <w:lang w:val="en-US" w:eastAsia="en-US" w:bidi="ar-SA"/>
      </w:rPr>
    </w:lvl>
    <w:lvl w:ilvl="3">
      <w:start w:val="0"/>
      <w:numFmt w:val="bullet"/>
      <w:lvlText w:val=""/>
      <w:lvlJc w:val="start"/>
      <w:pPr>
        <w:tabs>
          <w:tab w:val="num" w:pos="0"/>
        </w:tabs>
        <w:ind w:start="3666" w:hanging="360"/>
      </w:pPr>
      <w:rPr>
        <w:rFonts w:ascii="Symbol" w:hAnsi="Symbol" w:cs="Symbol" w:hint="default"/>
        <w:lang w:val="en-US" w:eastAsia="en-US" w:bidi="ar-SA"/>
      </w:rPr>
    </w:lvl>
    <w:lvl w:ilvl="4">
      <w:start w:val="0"/>
      <w:numFmt w:val="bullet"/>
      <w:lvlText w:val=""/>
      <w:lvlJc w:val="start"/>
      <w:pPr>
        <w:tabs>
          <w:tab w:val="num" w:pos="0"/>
        </w:tabs>
        <w:ind w:start="4608" w:hanging="360"/>
      </w:pPr>
      <w:rPr>
        <w:rFonts w:ascii="Symbol" w:hAnsi="Symbol" w:cs="Symbol" w:hint="default"/>
        <w:lang w:val="en-US" w:eastAsia="en-US" w:bidi="ar-SA"/>
      </w:rPr>
    </w:lvl>
    <w:lvl w:ilvl="5">
      <w:start w:val="0"/>
      <w:numFmt w:val="bullet"/>
      <w:lvlText w:val=""/>
      <w:lvlJc w:val="start"/>
      <w:pPr>
        <w:tabs>
          <w:tab w:val="num" w:pos="0"/>
        </w:tabs>
        <w:ind w:start="5550" w:hanging="360"/>
      </w:pPr>
      <w:rPr>
        <w:rFonts w:ascii="Symbol" w:hAnsi="Symbol" w:cs="Symbol" w:hint="default"/>
        <w:lang w:val="en-US" w:eastAsia="en-US" w:bidi="ar-SA"/>
      </w:rPr>
    </w:lvl>
    <w:lvl w:ilvl="6">
      <w:start w:val="0"/>
      <w:numFmt w:val="bullet"/>
      <w:lvlText w:val=""/>
      <w:lvlJc w:val="start"/>
      <w:pPr>
        <w:tabs>
          <w:tab w:val="num" w:pos="0"/>
        </w:tabs>
        <w:ind w:start="6492" w:hanging="360"/>
      </w:pPr>
      <w:rPr>
        <w:rFonts w:ascii="Symbol" w:hAnsi="Symbol" w:cs="Symbol" w:hint="default"/>
        <w:lang w:val="en-US" w:eastAsia="en-US" w:bidi="ar-SA"/>
      </w:rPr>
    </w:lvl>
    <w:lvl w:ilvl="7">
      <w:start w:val="0"/>
      <w:numFmt w:val="bullet"/>
      <w:lvlText w:val=""/>
      <w:lvlJc w:val="start"/>
      <w:pPr>
        <w:tabs>
          <w:tab w:val="num" w:pos="0"/>
        </w:tabs>
        <w:ind w:start="7434" w:hanging="360"/>
      </w:pPr>
      <w:rPr>
        <w:rFonts w:ascii="Symbol" w:hAnsi="Symbol" w:cs="Symbol" w:hint="default"/>
        <w:lang w:val="en-US" w:eastAsia="en-US" w:bidi="ar-SA"/>
      </w:rPr>
    </w:lvl>
    <w:lvl w:ilvl="8">
      <w:start w:val="0"/>
      <w:numFmt w:val="bullet"/>
      <w:lvlText w:val=""/>
      <w:lvlJc w:val="start"/>
      <w:pPr>
        <w:tabs>
          <w:tab w:val="num" w:pos="0"/>
        </w:tabs>
        <w:ind w:start="8376" w:hanging="360"/>
      </w:pPr>
      <w:rPr>
        <w:rFonts w:ascii="Symbol" w:hAnsi="Symbol" w:cs="Symbol" w:hint="default"/>
        <w:lang w:val="en-U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3">
    <w:name w:val="heading 3"/>
    <w:next w:val="Normal"/>
    <w:uiPriority w:val="9"/>
    <w:semiHidden/>
    <w:unhideWhenUsed/>
    <w:qFormat/>
    <w:pPr>
      <w:widowControl/>
      <w:suppressAutoHyphens w:val="true"/>
      <w:bidi w:val="0"/>
      <w:spacing w:beforeAutospacing="1" w:afterAutospacing="1"/>
      <w:jc w:val="start"/>
      <w:outlineLvl w:val="2"/>
    </w:pPr>
    <w:rPr>
      <w:rFonts w:ascii="SimSun" w:hAnsi="SimSun" w:eastAsia="SimSun" w:cs="Times New Roman"/>
      <w:b/>
      <w:bCs/>
      <w:color w:val="auto"/>
      <w:kern w:val="0"/>
      <w:sz w:val="27"/>
      <w:szCs w:val="27"/>
      <w:lang w:val="en-US" w:eastAsia="zh-CN" w:bidi="ar-SA"/>
    </w:rPr>
  </w:style>
  <w:style w:type="paragraph" w:styleId="Heading4">
    <w:name w:val="heading 4"/>
    <w:next w:val="Normal"/>
    <w:uiPriority w:val="9"/>
    <w:semiHidden/>
    <w:unhideWhenUsed/>
    <w:qFormat/>
    <w:pPr>
      <w:widowControl/>
      <w:suppressAutoHyphens w:val="true"/>
      <w:bidi w:val="0"/>
      <w:spacing w:beforeAutospacing="1" w:afterAutospacing="1"/>
      <w:jc w:val="start"/>
      <w:outlineLvl w:val="3"/>
    </w:pPr>
    <w:rPr>
      <w:rFonts w:ascii="SimSun" w:hAnsi="SimSun" w:eastAsia="SimSun" w:cs="Times New Roman"/>
      <w:b/>
      <w:bCs/>
      <w:color w:val="auto"/>
      <w:kern w:val="0"/>
      <w:sz w:val="24"/>
      <w:szCs w:val="24"/>
      <w:lang w:val="en-US" w:eastAsia="zh-CN"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uiPriority w:val="1"/>
    <w:qFormat/>
    <w:pPr/>
    <w:rPr>
      <w:sz w:val="23"/>
      <w:szCs w:val="23"/>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uiPriority w:val="99"/>
    <w:semiHidden/>
    <w:unhideWhenUsed/>
    <w:qFormat/>
    <w:pPr>
      <w:widowControl/>
      <w:suppressAutoHyphens w:val="true"/>
      <w:bidi w:val="0"/>
      <w:spacing w:beforeAutospacing="1" w:afterAutospacing="1"/>
      <w:jc w:val="start"/>
    </w:pPr>
    <w:rPr>
      <w:rFonts w:ascii="Times New Roman" w:hAnsi="Times New Roman" w:eastAsia="SimSun" w:cs="Times New Roman"/>
      <w:color w:val="auto"/>
      <w:kern w:val="0"/>
      <w:sz w:val="24"/>
      <w:szCs w:val="24"/>
      <w:lang w:val="en-US" w:eastAsia="zh-CN" w:bidi="ar-SA"/>
    </w:rPr>
  </w:style>
  <w:style w:type="paragraph" w:styleId="Title">
    <w:name w:val="Title"/>
    <w:basedOn w:val="Normal"/>
    <w:uiPriority w:val="1"/>
    <w:qFormat/>
    <w:pPr>
      <w:spacing w:before="93" w:after="0"/>
      <w:ind w:start="183"/>
    </w:pPr>
    <w:rPr>
      <w:rFonts w:ascii="Arial" w:hAnsi="Arial" w:eastAsia="Arial" w:cs="Arial"/>
      <w:b/>
      <w:bCs/>
      <w:sz w:val="23"/>
      <w:szCs w:val="23"/>
    </w:rPr>
  </w:style>
  <w:style w:type="paragraph" w:styleId="ListParagraph">
    <w:name w:val="List Paragraph"/>
    <w:basedOn w:val="Normal"/>
    <w:uiPriority w:val="1"/>
    <w:qFormat/>
    <w:pPr>
      <w:ind w:hanging="361" w:start="836"/>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200</TotalTime>
  <Application>LibreOffice/26.2.5.2$Windows_X86_64 LibreOffice_project/cd7284b4cbbfeb507e630c1aac019f4157393acb</Application>
  <AppVersion>15.0000</AppVersion>
  <Pages>17</Pages>
  <Words>5500</Words>
  <Characters>33912</Characters>
  <CharactersWithSpaces>39554</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2024-08-22T06:30:00Z</dcterms:created>
  <dc:creator>User</dc:creator>
  <dc:description/>
  <dc:language>en-US</dc:language>
  <cp:lastModifiedBy/>
  <dcterms:modified xsi:type="dcterms:W3CDTF">2026-08-18T20:07:39Z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2017-01-06T00:00:00Z</vt:filetime>
  </property>
  <property fmtid="{D5CDD505-2E9C-101B-9397-08002B2CF9AE}" pid="3" name="Creator">
    <vt:lpwstr>Microsoft® Office Word 2007</vt:lpwstr>
  </property>
  <property fmtid="{D5CDD505-2E9C-101B-9397-08002B2CF9AE}" pid="4" name="ICV">
    <vt:lpwstr>A702259B3CF74CFA9E91508126884DEC_13</vt:lpwstr>
  </property>
  <property fmtid="{D5CDD505-2E9C-101B-9397-08002B2CF9AE}" pid="5" name="KSOProductBuildVer">
    <vt:lpwstr>1033-12.2.0.17119</vt:lpwstr>
  </property>
  <property fmtid="{D5CDD505-2E9C-101B-9397-08002B2CF9AE}" pid="6" name="LastSaved">
    <vt:filetime>2022-05-11T00:00:00Z</vt:filetime>
  </property>
</Properties>
</file>