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C00D1F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C00D1F" w:rsidRPr="00C00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 and Anonymous Classes</w:t>
            </w:r>
          </w:p>
        </w:tc>
      </w:tr>
    </w:tbl>
    <w:p w:rsidR="00C00D1F" w:rsidRDefault="00C00D1F" w:rsidP="00C00D1F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C00D1F" w:rsidRDefault="00C00D1F" w:rsidP="00C00D1F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demonstrate the use of an inner class, an anonymous class. </w:t>
      </w:r>
    </w:p>
    <w:p w:rsidR="00C00D1F" w:rsidRDefault="00C00D1F" w:rsidP="00C00D1F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C00D1F" w:rsidRDefault="00C00D1F" w:rsidP="00C00D1F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  <w:sz w:val="22"/>
          <w:szCs w:val="22"/>
        </w:rPr>
        <w:t>To implement inner classes and anonymous classes for improving encapsulation and event handling in Java.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C00D1F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7566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5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2026-07-27T08:36:00Z</dcterms:modified>
</cp:coreProperties>
</file>