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85035">
              <w:rPr>
                <w:rFonts w:ascii="Times New Roman" w:eastAsia="Times New Roman" w:hAnsi="Times New Roman" w:cs="Times New Roman"/>
                <w:b/>
                <w:bCs/>
              </w:rPr>
              <w:t>11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385035" w:rsidRPr="00385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 Implementation</w:t>
            </w:r>
          </w:p>
        </w:tc>
      </w:tr>
    </w:tbl>
    <w:p w:rsidR="00385035" w:rsidRPr="00385035" w:rsidRDefault="00385035" w:rsidP="0038503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0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:rsidR="00385035" w:rsidRPr="00385035" w:rsidRDefault="00385035" w:rsidP="0038503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035"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program to demonstrate the implementation of interfaces.</w:t>
      </w:r>
    </w:p>
    <w:p w:rsidR="00385035" w:rsidRPr="00385035" w:rsidRDefault="00385035" w:rsidP="0038503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0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:rsidR="00385035" w:rsidRPr="00385035" w:rsidRDefault="00385035" w:rsidP="0038503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5035"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interfaces for achieving abstraction and multiple inheritance of type.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385035"/>
    <w:rsid w:val="004030B6"/>
    <w:rsid w:val="0055625E"/>
    <w:rsid w:val="0079718B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CA8D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2026-07-27T08:42:00Z</dcterms:modified>
</cp:coreProperties>
</file>