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C797E" w14:textId="07F66F0F" w:rsidR="00B818A5" w:rsidRDefault="00B818A5" w:rsidP="004C0E4D">
      <w:pPr>
        <w:rPr>
          <w:b/>
          <w:bCs/>
          <w:sz w:val="28"/>
          <w:szCs w:val="28"/>
        </w:rPr>
      </w:pPr>
      <w:r w:rsidRPr="00B818A5">
        <w:rPr>
          <w:b/>
          <w:bCs/>
          <w:sz w:val="28"/>
          <w:szCs w:val="28"/>
        </w:rPr>
        <w:t>Executive Report</w:t>
      </w:r>
    </w:p>
    <w:p w14:paraId="3DF594BF" w14:textId="2624D42D" w:rsidR="004C0E4D" w:rsidRPr="004C0E4D" w:rsidRDefault="004C0E4D" w:rsidP="004C0E4D">
      <w:pPr>
        <w:rPr>
          <w:b/>
          <w:bCs/>
          <w:sz w:val="28"/>
          <w:szCs w:val="28"/>
        </w:rPr>
      </w:pPr>
      <w:r w:rsidRPr="004C0E4D">
        <w:rPr>
          <w:b/>
          <w:bCs/>
          <w:sz w:val="28"/>
          <w:szCs w:val="28"/>
        </w:rPr>
        <w:t>1. Executive Summary</w:t>
      </w:r>
    </w:p>
    <w:p w14:paraId="115846D2" w14:textId="77777777" w:rsidR="004C0E4D" w:rsidRPr="004C0E4D" w:rsidRDefault="004C0E4D" w:rsidP="004C0E4D">
      <w:proofErr w:type="spellStart"/>
      <w:r w:rsidRPr="004C0E4D">
        <w:t>SuperStore</w:t>
      </w:r>
      <w:proofErr w:type="spellEnd"/>
      <w:r w:rsidRPr="004C0E4D">
        <w:t xml:space="preserve"> achieved consistent revenue growth across all four years of the analysis period (2011–2014), growing from $2.26M to $4.3M — a </w:t>
      </w:r>
      <w:r w:rsidRPr="004C0E4D">
        <w:rPr>
          <w:b/>
          <w:bCs/>
        </w:rPr>
        <w:t>90.3% increase</w:t>
      </w:r>
      <w:r w:rsidRPr="004C0E4D">
        <w:t>. Profit grew even faster at </w:t>
      </w:r>
      <w:r w:rsidRPr="004C0E4D">
        <w:rPr>
          <w:b/>
          <w:bCs/>
        </w:rPr>
        <w:t>102%</w:t>
      </w:r>
      <w:r w:rsidRPr="004C0E4D">
        <w:t>, reaching $504K in 2014, indicating improving operational efficiency over time.</w:t>
      </w:r>
    </w:p>
    <w:p w14:paraId="02A19B31" w14:textId="786E4D16" w:rsidR="004C0E4D" w:rsidRPr="004C0E4D" w:rsidRDefault="004C0E4D" w:rsidP="004C0E4D">
      <w:r w:rsidRPr="004C0E4D">
        <w:t>The overall profit margin stands at </w:t>
      </w:r>
      <w:r w:rsidRPr="004C0E4D">
        <w:rPr>
          <w:b/>
          <w:bCs/>
        </w:rPr>
        <w:t>11.62%</w:t>
      </w:r>
      <w:r w:rsidRPr="004C0E4D">
        <w:t> globally. With an average discount of 14.3%, there is a clear tension between discount-driven volume and profitability — particularly visible in the Tables sub-category</w:t>
      </w:r>
      <w:r>
        <w:t>,</w:t>
      </w:r>
      <w:r w:rsidRPr="004C0E4D">
        <w:t xml:space="preserve"> which posted a </w:t>
      </w:r>
      <w:r w:rsidRPr="004C0E4D">
        <w:rPr>
          <w:b/>
          <w:bCs/>
        </w:rPr>
        <w:t>-8.5% margin</w:t>
      </w:r>
      <w:r w:rsidRPr="004C0E4D">
        <w:t>.</w:t>
      </w:r>
    </w:p>
    <w:p w14:paraId="0CCB636C" w14:textId="48D72527" w:rsidR="004C0E4D" w:rsidRPr="004C0E4D" w:rsidRDefault="004C0E4D" w:rsidP="004C0E4D">
      <w:pPr>
        <w:rPr>
          <w:b/>
          <w:bCs/>
          <w:sz w:val="28"/>
          <w:szCs w:val="28"/>
        </w:rPr>
      </w:pPr>
      <w:r w:rsidRPr="004C0E4D">
        <w:rPr>
          <w:b/>
          <w:bCs/>
          <w:sz w:val="28"/>
          <w:szCs w:val="28"/>
        </w:rPr>
        <w:t>2. Data Cleaning &amp; Quality</w:t>
      </w:r>
    </w:p>
    <w:p w14:paraId="71B1D7B0" w14:textId="77777777" w:rsidR="004C0E4D" w:rsidRPr="004C0E4D" w:rsidRDefault="004C0E4D" w:rsidP="004C0E4D">
      <w:pPr>
        <w:numPr>
          <w:ilvl w:val="0"/>
          <w:numId w:val="1"/>
        </w:numPr>
      </w:pPr>
      <w:r w:rsidRPr="004C0E4D">
        <w:rPr>
          <w:b/>
          <w:bCs/>
        </w:rPr>
        <w:t>No missing values</w:t>
      </w:r>
      <w:r w:rsidRPr="004C0E4D">
        <w:t> — all 51,290 rows across 21 columns are complete. No imputation was required.</w:t>
      </w:r>
    </w:p>
    <w:p w14:paraId="4EAC6746" w14:textId="77777777" w:rsidR="004C0E4D" w:rsidRPr="004C0E4D" w:rsidRDefault="004C0E4D" w:rsidP="004C0E4D">
      <w:pPr>
        <w:numPr>
          <w:ilvl w:val="0"/>
          <w:numId w:val="1"/>
        </w:numPr>
      </w:pPr>
      <w:r w:rsidRPr="004C0E4D">
        <w:rPr>
          <w:b/>
          <w:bCs/>
        </w:rPr>
        <w:t>No duplicates</w:t>
      </w:r>
      <w:r w:rsidRPr="004C0E4D">
        <w:t> — all order IDs are unique across the dataset.</w:t>
      </w:r>
    </w:p>
    <w:p w14:paraId="4702CC29" w14:textId="77777777" w:rsidR="004C0E4D" w:rsidRPr="004C0E4D" w:rsidRDefault="004C0E4D" w:rsidP="004C0E4D">
      <w:pPr>
        <w:numPr>
          <w:ilvl w:val="0"/>
          <w:numId w:val="1"/>
        </w:numPr>
      </w:pPr>
      <w:r w:rsidRPr="004C0E4D">
        <w:rPr>
          <w:b/>
          <w:bCs/>
        </w:rPr>
        <w:t>Data types validated</w:t>
      </w:r>
      <w:r w:rsidRPr="004C0E4D">
        <w:t xml:space="preserve"> — </w:t>
      </w:r>
      <w:proofErr w:type="spellStart"/>
      <w:r w:rsidRPr="004C0E4D">
        <w:t>order_date</w:t>
      </w:r>
      <w:proofErr w:type="spellEnd"/>
      <w:r w:rsidRPr="004C0E4D">
        <w:t xml:space="preserve"> and </w:t>
      </w:r>
      <w:proofErr w:type="spellStart"/>
      <w:r w:rsidRPr="004C0E4D">
        <w:t>ship_date</w:t>
      </w:r>
      <w:proofErr w:type="spellEnd"/>
      <w:r w:rsidRPr="004C0E4D">
        <w:t xml:space="preserve"> correctly parsed as datetime; sales, quantity, profit as numeric.</w:t>
      </w:r>
    </w:p>
    <w:p w14:paraId="515F11AB" w14:textId="77777777" w:rsidR="004C0E4D" w:rsidRPr="004C0E4D" w:rsidRDefault="004C0E4D" w:rsidP="004C0E4D">
      <w:pPr>
        <w:numPr>
          <w:ilvl w:val="0"/>
          <w:numId w:val="1"/>
        </w:numPr>
      </w:pPr>
      <w:r w:rsidRPr="004C0E4D">
        <w:rPr>
          <w:b/>
          <w:bCs/>
        </w:rPr>
        <w:t>Outliers treated informationally</w:t>
      </w:r>
      <w:r w:rsidRPr="004C0E4D">
        <w:t> — sales range from $0 to $22,638 (IQR: $31–$251). These extreme orders are legitimate B2B bulk orders retained in analysis.</w:t>
      </w:r>
    </w:p>
    <w:p w14:paraId="47359F9E" w14:textId="77777777" w:rsidR="004C0E4D" w:rsidRPr="004C0E4D" w:rsidRDefault="004C0E4D" w:rsidP="004C0E4D">
      <w:pPr>
        <w:numPr>
          <w:ilvl w:val="0"/>
          <w:numId w:val="1"/>
        </w:numPr>
      </w:pPr>
      <w:r w:rsidRPr="004C0E4D">
        <w:t>Profit ranges from -$6,600 to +$8,400 — negative profits associated with high-discount or returned items.</w:t>
      </w:r>
    </w:p>
    <w:p w14:paraId="6F3949B6" w14:textId="1E77987D" w:rsidR="004C0E4D" w:rsidRPr="004C0E4D" w:rsidRDefault="004C0E4D" w:rsidP="004C0E4D">
      <w:pPr>
        <w:rPr>
          <w:b/>
          <w:bCs/>
          <w:sz w:val="28"/>
          <w:szCs w:val="28"/>
        </w:rPr>
      </w:pPr>
      <w:r w:rsidRPr="004C0E4D">
        <w:rPr>
          <w:b/>
          <w:bCs/>
          <w:sz w:val="28"/>
          <w:szCs w:val="28"/>
        </w:rPr>
        <w:t>3. Key Findings</w:t>
      </w:r>
    </w:p>
    <w:p w14:paraId="03CDB8BE" w14:textId="77777777" w:rsidR="004C0E4D" w:rsidRPr="004C0E4D" w:rsidRDefault="004C0E4D" w:rsidP="004C0E4D">
      <w:pPr>
        <w:numPr>
          <w:ilvl w:val="0"/>
          <w:numId w:val="2"/>
        </w:numPr>
      </w:pPr>
      <w:r w:rsidRPr="004C0E4D">
        <w:rPr>
          <w:b/>
          <w:bCs/>
        </w:rPr>
        <w:t>Technology is the highest-revenue category</w:t>
      </w:r>
      <w:r w:rsidRPr="004C0E4D">
        <w:t> ($4.74M) and highest profit generator ($663K, 14% margin). Copiers and Phones drive this performance.</w:t>
      </w:r>
    </w:p>
    <w:p w14:paraId="0634FA9D" w14:textId="77777777" w:rsidR="004C0E4D" w:rsidRPr="004C0E4D" w:rsidRDefault="004C0E4D" w:rsidP="004C0E4D">
      <w:pPr>
        <w:numPr>
          <w:ilvl w:val="0"/>
          <w:numId w:val="2"/>
        </w:numPr>
      </w:pPr>
      <w:r w:rsidRPr="004C0E4D">
        <w:rPr>
          <w:b/>
          <w:bCs/>
        </w:rPr>
        <w:t>Furniture has the weakest margins</w:t>
      </w:r>
      <w:r w:rsidRPr="004C0E4D">
        <w:t> (7%) despite $4.1M in sales. Tables sub-category is actively destroying value at -8.5% margin.</w:t>
      </w:r>
    </w:p>
    <w:p w14:paraId="397F053E" w14:textId="77777777" w:rsidR="004C0E4D" w:rsidRPr="004C0E4D" w:rsidRDefault="004C0E4D" w:rsidP="004C0E4D">
      <w:pPr>
        <w:numPr>
          <w:ilvl w:val="0"/>
          <w:numId w:val="2"/>
        </w:numPr>
      </w:pPr>
      <w:r w:rsidRPr="004C0E4D">
        <w:rPr>
          <w:b/>
          <w:bCs/>
        </w:rPr>
        <w:t>Office Supplies punches above its weight</w:t>
      </w:r>
      <w:r w:rsidRPr="004C0E4D">
        <w:t> — lower revenue ($3.79M) but strong margins (13.7%). Paper alone has a 24.2% margin.</w:t>
      </w:r>
    </w:p>
    <w:p w14:paraId="58F8FBCE" w14:textId="77777777" w:rsidR="004C0E4D" w:rsidRPr="004C0E4D" w:rsidRDefault="004C0E4D" w:rsidP="004C0E4D">
      <w:pPr>
        <w:numPr>
          <w:ilvl w:val="0"/>
          <w:numId w:val="2"/>
        </w:numPr>
      </w:pPr>
      <w:r w:rsidRPr="004C0E4D">
        <w:rPr>
          <w:b/>
          <w:bCs/>
        </w:rPr>
        <w:t>Central region dominates</w:t>
      </w:r>
      <w:r w:rsidRPr="004C0E4D">
        <w:t> globally with $2.82M in sales and $311K profit. Southeast Asia underperforms with only $17.8K profit on $884K revenue (2% margin).</w:t>
      </w:r>
    </w:p>
    <w:p w14:paraId="62E0F755" w14:textId="77777777" w:rsidR="004C0E4D" w:rsidRPr="004C0E4D" w:rsidRDefault="004C0E4D" w:rsidP="004C0E4D">
      <w:pPr>
        <w:numPr>
          <w:ilvl w:val="0"/>
          <w:numId w:val="2"/>
        </w:numPr>
      </w:pPr>
      <w:r w:rsidRPr="004C0E4D">
        <w:rPr>
          <w:b/>
          <w:bCs/>
        </w:rPr>
        <w:t>APAC is the top market</w:t>
      </w:r>
      <w:r w:rsidRPr="004C0E4D">
        <w:t> by revenue ($3.59M) followed by EU ($2.94M). Canada is the smallest market at $66.9K.</w:t>
      </w:r>
    </w:p>
    <w:p w14:paraId="6B7D6E7D" w14:textId="77777777" w:rsidR="004C0E4D" w:rsidRPr="004C0E4D" w:rsidRDefault="004C0E4D" w:rsidP="004C0E4D">
      <w:pPr>
        <w:numPr>
          <w:ilvl w:val="0"/>
          <w:numId w:val="2"/>
        </w:numPr>
      </w:pPr>
      <w:r w:rsidRPr="004C0E4D">
        <w:rPr>
          <w:b/>
          <w:bCs/>
        </w:rPr>
        <w:t>Consumer segment accounts for 51.5%</w:t>
      </w:r>
      <w:r w:rsidRPr="004C0E4D">
        <w:t> of total sales. Corporate and Home Office segments together represent the other half.</w:t>
      </w:r>
    </w:p>
    <w:p w14:paraId="46049FDB" w14:textId="77777777" w:rsidR="004C0E4D" w:rsidRPr="004C0E4D" w:rsidRDefault="004C0E4D" w:rsidP="004C0E4D">
      <w:pPr>
        <w:numPr>
          <w:ilvl w:val="0"/>
          <w:numId w:val="2"/>
        </w:numPr>
      </w:pPr>
      <w:r w:rsidRPr="004C0E4D">
        <w:rPr>
          <w:b/>
          <w:bCs/>
        </w:rPr>
        <w:t>Q3–Q4 are peak seasons</w:t>
      </w:r>
      <w:r w:rsidRPr="004C0E4D">
        <w:t> — August through December consistently outperform the first half of the year, with November being the peak month in 2014 ($555K).</w:t>
      </w:r>
    </w:p>
    <w:p w14:paraId="3A756482" w14:textId="77777777" w:rsidR="004C0E4D" w:rsidRPr="004C0E4D" w:rsidRDefault="004C0E4D" w:rsidP="004C0E4D">
      <w:pPr>
        <w:numPr>
          <w:ilvl w:val="0"/>
          <w:numId w:val="2"/>
        </w:numPr>
      </w:pPr>
      <w:r w:rsidRPr="004C0E4D">
        <w:rPr>
          <w:b/>
          <w:bCs/>
        </w:rPr>
        <w:t>Standard Class shipping</w:t>
      </w:r>
      <w:r w:rsidRPr="004C0E4D">
        <w:t> accounts for 59.5% of all orders, indicating cost-sensitivity among customers.</w:t>
      </w:r>
    </w:p>
    <w:p w14:paraId="6D8B001F" w14:textId="3A9035E9" w:rsidR="004C0E4D" w:rsidRDefault="004C0E4D" w:rsidP="004C0E4D">
      <w:pPr>
        <w:rPr>
          <w:b/>
          <w:bCs/>
          <w:sz w:val="28"/>
          <w:szCs w:val="28"/>
        </w:rPr>
      </w:pPr>
      <w:r w:rsidRPr="004C0E4D">
        <w:rPr>
          <w:b/>
          <w:bCs/>
          <w:sz w:val="28"/>
          <w:szCs w:val="28"/>
        </w:rPr>
        <w:t>4</w:t>
      </w:r>
      <w:r w:rsidRPr="004C0E4D">
        <w:rPr>
          <w:b/>
          <w:bCs/>
          <w:sz w:val="28"/>
          <w:szCs w:val="28"/>
        </w:rPr>
        <w:t>. Strategic Recommendations</w:t>
      </w:r>
    </w:p>
    <w:p w14:paraId="0E65494F" w14:textId="77777777" w:rsidR="004C0E4D" w:rsidRPr="004C0E4D" w:rsidRDefault="004C0E4D" w:rsidP="004C0E4D">
      <w:pPr>
        <w:rPr>
          <w:b/>
          <w:bCs/>
          <w:sz w:val="28"/>
          <w:szCs w:val="28"/>
        </w:rPr>
      </w:pPr>
    </w:p>
    <w:p w14:paraId="4B70B8D4" w14:textId="67817C50" w:rsidR="004C0E4D" w:rsidRPr="004C0E4D" w:rsidRDefault="004C0E4D" w:rsidP="004C0E4D">
      <w:r w:rsidRPr="004C0E4D">
        <w:t>1</w:t>
      </w:r>
      <w:r>
        <w:t xml:space="preserve"> </w:t>
      </w:r>
      <w:r w:rsidRPr="004C0E4D">
        <w:rPr>
          <w:b/>
          <w:bCs/>
        </w:rPr>
        <w:t>Restructure Furniture Pricing</w:t>
      </w:r>
    </w:p>
    <w:p w14:paraId="3E6F6D44" w14:textId="77777777" w:rsidR="004C0E4D" w:rsidRPr="004C0E4D" w:rsidRDefault="004C0E4D" w:rsidP="004C0E4D">
      <w:r w:rsidRPr="004C0E4D">
        <w:t xml:space="preserve">The Tables sub-category posts -$64K total profit. Audit discount policies on Tables and Bookcases. Consider price floor adjustments or discontinuing loss-making SKUs like </w:t>
      </w:r>
      <w:proofErr w:type="spellStart"/>
      <w:r w:rsidRPr="004C0E4D">
        <w:t>Cubify</w:t>
      </w:r>
      <w:proofErr w:type="spellEnd"/>
      <w:r w:rsidRPr="004C0E4D">
        <w:t xml:space="preserve"> 3D Printers.</w:t>
      </w:r>
    </w:p>
    <w:p w14:paraId="77489BD1" w14:textId="76A96DA7" w:rsidR="004C0E4D" w:rsidRPr="004C0E4D" w:rsidRDefault="004C0E4D" w:rsidP="004C0E4D">
      <w:r w:rsidRPr="004C0E4D">
        <w:rPr>
          <w:b/>
          <w:bCs/>
        </w:rPr>
        <w:t>2</w:t>
      </w:r>
      <w:r>
        <w:t xml:space="preserve"> </w:t>
      </w:r>
      <w:r w:rsidRPr="004C0E4D">
        <w:rPr>
          <w:b/>
          <w:bCs/>
        </w:rPr>
        <w:t>Double Down on Technology</w:t>
      </w:r>
    </w:p>
    <w:p w14:paraId="378E8BED" w14:textId="77777777" w:rsidR="004C0E4D" w:rsidRPr="004C0E4D" w:rsidRDefault="004C0E4D" w:rsidP="004C0E4D">
      <w:r w:rsidRPr="004C0E4D">
        <w:t>Copiers (17.1% margin) and Accessories (17.3%) are growth engines. Increase inventory and marketing spend in these sub-categories, especially in the APAC and EU markets.</w:t>
      </w:r>
    </w:p>
    <w:p w14:paraId="368E5DBA" w14:textId="47DB97E5" w:rsidR="004C0E4D" w:rsidRPr="004C0E4D" w:rsidRDefault="004C0E4D" w:rsidP="004C0E4D">
      <w:r w:rsidRPr="004C0E4D">
        <w:rPr>
          <w:b/>
          <w:bCs/>
        </w:rPr>
        <w:t>3</w:t>
      </w:r>
      <w:r>
        <w:t xml:space="preserve"> </w:t>
      </w:r>
      <w:r>
        <w:rPr>
          <w:b/>
          <w:bCs/>
        </w:rPr>
        <w:t>Optimise</w:t>
      </w:r>
      <w:r w:rsidRPr="004C0E4D">
        <w:rPr>
          <w:b/>
          <w:bCs/>
        </w:rPr>
        <w:t xml:space="preserve"> Southeast Asia</w:t>
      </w:r>
    </w:p>
    <w:p w14:paraId="0EAE8004" w14:textId="77777777" w:rsidR="004C0E4D" w:rsidRPr="004C0E4D" w:rsidRDefault="004C0E4D" w:rsidP="004C0E4D">
      <w:r w:rsidRPr="004C0E4D">
        <w:t>$884K in sales but only $17.9K in profit (2% margin). This region has high volume but poor profitability — investigate local discounting practices and supply chain costs.</w:t>
      </w:r>
    </w:p>
    <w:p w14:paraId="43AA39D0" w14:textId="386A6AD8" w:rsidR="004C0E4D" w:rsidRPr="004C0E4D" w:rsidRDefault="004C0E4D" w:rsidP="004C0E4D">
      <w:r w:rsidRPr="004C0E4D">
        <w:rPr>
          <w:b/>
          <w:bCs/>
        </w:rPr>
        <w:t>4</w:t>
      </w:r>
      <w:r>
        <w:t xml:space="preserve"> </w:t>
      </w:r>
      <w:r w:rsidRPr="004C0E4D">
        <w:rPr>
          <w:b/>
          <w:bCs/>
        </w:rPr>
        <w:t>Cap Discount Rates</w:t>
      </w:r>
    </w:p>
    <w:p w14:paraId="7478C929" w14:textId="253D9EB6" w:rsidR="004C0E4D" w:rsidRPr="004C0E4D" w:rsidRDefault="004C0E4D" w:rsidP="004C0E4D">
      <w:r>
        <w:t>The average</w:t>
      </w:r>
      <w:r w:rsidRPr="004C0E4D">
        <w:t xml:space="preserve"> discount of 14.3% is compressing margins. Introduce tiered discount policies — cap at 10% for Furniture, 15% max for Technology, to protect the 11.6% overall margin.</w:t>
      </w:r>
    </w:p>
    <w:p w14:paraId="5C456F47" w14:textId="6A56AF4D" w:rsidR="004C0E4D" w:rsidRPr="004C0E4D" w:rsidRDefault="004C0E4D" w:rsidP="004C0E4D">
      <w:r w:rsidRPr="004C0E4D">
        <w:rPr>
          <w:b/>
          <w:bCs/>
        </w:rPr>
        <w:t>5</w:t>
      </w:r>
      <w:r>
        <w:t xml:space="preserve"> </w:t>
      </w:r>
      <w:r w:rsidRPr="004C0E4D">
        <w:rPr>
          <w:b/>
          <w:bCs/>
        </w:rPr>
        <w:t>Seasonal Inventory Planning</w:t>
      </w:r>
    </w:p>
    <w:p w14:paraId="6ECAEF6D" w14:textId="08C22C90" w:rsidR="004C0E4D" w:rsidRPr="004C0E4D" w:rsidRDefault="004C0E4D" w:rsidP="004C0E4D">
      <w:r w:rsidRPr="004C0E4D">
        <w:t xml:space="preserve">Q3–Q4 drives disproportionate revenue. Build pre-season inventory buffers starting </w:t>
      </w:r>
      <w:r>
        <w:t xml:space="preserve">in </w:t>
      </w:r>
      <w:r w:rsidRPr="004C0E4D">
        <w:t xml:space="preserve">July to avoid stockouts. Redirect marketing budgets to </w:t>
      </w:r>
      <w:r>
        <w:t xml:space="preserve">the </w:t>
      </w:r>
      <w:r w:rsidRPr="004C0E4D">
        <w:t>August–November peak window.</w:t>
      </w:r>
    </w:p>
    <w:p w14:paraId="6D03F734" w14:textId="415EBDA3" w:rsidR="004C0E4D" w:rsidRPr="004C0E4D" w:rsidRDefault="004C0E4D" w:rsidP="004C0E4D">
      <w:r w:rsidRPr="004C0E4D">
        <w:rPr>
          <w:b/>
          <w:bCs/>
        </w:rPr>
        <w:t>6</w:t>
      </w:r>
      <w:r>
        <w:t xml:space="preserve"> </w:t>
      </w:r>
      <w:r w:rsidRPr="004C0E4D">
        <w:rPr>
          <w:b/>
          <w:bCs/>
        </w:rPr>
        <w:t>Grow Corporate Segment</w:t>
      </w:r>
    </w:p>
    <w:p w14:paraId="4C2F820C" w14:textId="486DF67D" w:rsidR="004C0E4D" w:rsidRPr="004C0E4D" w:rsidRDefault="004C0E4D" w:rsidP="004C0E4D">
      <w:r>
        <w:t>The corporate</w:t>
      </w:r>
      <w:r w:rsidRPr="004C0E4D">
        <w:t xml:space="preserve"> segment has strong per-order values and stable demand. Launch B2B loyalty and volume-pricing programs to increase Corporate's share beyond its current 30.2%.</w:t>
      </w:r>
    </w:p>
    <w:p w14:paraId="559CDF73" w14:textId="77777777" w:rsidR="004C0E4D" w:rsidRPr="004C0E4D" w:rsidRDefault="004C0E4D" w:rsidP="004C0E4D">
      <w:r w:rsidRPr="004C0E4D">
        <w:t>Best Performing</w:t>
      </w:r>
    </w:p>
    <w:p w14:paraId="7E35177D" w14:textId="77777777" w:rsidR="004C0E4D" w:rsidRPr="004C0E4D" w:rsidRDefault="004C0E4D" w:rsidP="004C0E4D">
      <w:r w:rsidRPr="004C0E4D">
        <w:rPr>
          <w:b/>
          <w:bCs/>
        </w:rPr>
        <w:t>Technology / APAC</w:t>
      </w:r>
      <w:r w:rsidRPr="004C0E4D">
        <w:t xml:space="preserve"> — Highest revenue category in the highest revenue market. Canon </w:t>
      </w:r>
      <w:proofErr w:type="spellStart"/>
      <w:r w:rsidRPr="004C0E4D">
        <w:t>imageCLASS</w:t>
      </w:r>
      <w:proofErr w:type="spellEnd"/>
      <w:r w:rsidRPr="004C0E4D">
        <w:t xml:space="preserve"> Copier alone generates $25.2K profit.</w:t>
      </w:r>
    </w:p>
    <w:p w14:paraId="55D31902" w14:textId="77777777" w:rsidR="004C0E4D" w:rsidRPr="004C0E4D" w:rsidRDefault="004C0E4D" w:rsidP="004C0E4D">
      <w:r w:rsidRPr="004C0E4D">
        <w:t>Fastest Growing</w:t>
      </w:r>
    </w:p>
    <w:p w14:paraId="1E7352A5" w14:textId="77777777" w:rsidR="004C0E4D" w:rsidRPr="004C0E4D" w:rsidRDefault="004C0E4D" w:rsidP="004C0E4D">
      <w:r w:rsidRPr="004C0E4D">
        <w:rPr>
          <w:b/>
          <w:bCs/>
        </w:rPr>
        <w:t>Year-over-Year Revenue</w:t>
      </w:r>
      <w:r w:rsidRPr="004C0E4D">
        <w:t> grew 27.2% in 2013 and 26.3% in 2014 — accelerating growth curve signals strong market penetration.</w:t>
      </w:r>
    </w:p>
    <w:p w14:paraId="49365384" w14:textId="77777777" w:rsidR="004C0E4D" w:rsidRPr="004C0E4D" w:rsidRDefault="004C0E4D" w:rsidP="004C0E4D">
      <w:r w:rsidRPr="004C0E4D">
        <w:t>Critical Risk</w:t>
      </w:r>
    </w:p>
    <w:p w14:paraId="442EC50C" w14:textId="77777777" w:rsidR="004C0E4D" w:rsidRPr="004C0E4D" w:rsidRDefault="004C0E4D" w:rsidP="004C0E4D">
      <w:r w:rsidRPr="004C0E4D">
        <w:rPr>
          <w:b/>
          <w:bCs/>
        </w:rPr>
        <w:t>Tables sub-category</w:t>
      </w:r>
      <w:r w:rsidRPr="004C0E4D">
        <w:t> is the single largest profit drain (-$64K). Immediate pricing intervention recommended before 2025 planning cycle.</w:t>
      </w:r>
    </w:p>
    <w:p w14:paraId="514A2BE2" w14:textId="77777777" w:rsidR="004C0E4D" w:rsidRPr="004C0E4D" w:rsidRDefault="004C0E4D" w:rsidP="004C0E4D">
      <w:r w:rsidRPr="004C0E4D">
        <w:t>Hidden Gem</w:t>
      </w:r>
    </w:p>
    <w:p w14:paraId="258264BB" w14:textId="77777777" w:rsidR="004C0E4D" w:rsidRPr="004C0E4D" w:rsidRDefault="004C0E4D" w:rsidP="004C0E4D">
      <w:r w:rsidRPr="004C0E4D">
        <w:rPr>
          <w:b/>
          <w:bCs/>
        </w:rPr>
        <w:t>Paper products</w:t>
      </w:r>
      <w:r w:rsidRPr="004C0E4D">
        <w:t> — 24.2% profit margin with $244K in sales. Under-invested relative to performance. Scale this segment.</w:t>
      </w:r>
    </w:p>
    <w:p w14:paraId="165F156E" w14:textId="77777777" w:rsidR="004C0E4D" w:rsidRPr="004C0E4D" w:rsidRDefault="004C0E4D" w:rsidP="004C0E4D">
      <w:r w:rsidRPr="004C0E4D">
        <w:t>Market Opportunity</w:t>
      </w:r>
    </w:p>
    <w:p w14:paraId="58C5D8FA" w14:textId="77777777" w:rsidR="004C0E4D" w:rsidRPr="004C0E4D" w:rsidRDefault="004C0E4D" w:rsidP="004C0E4D">
      <w:r w:rsidRPr="004C0E4D">
        <w:rPr>
          <w:b/>
          <w:bCs/>
        </w:rPr>
        <w:t>Canada market</w:t>
      </w:r>
      <w:r w:rsidRPr="004C0E4D">
        <w:t> at $66.9K is severely underpenetrated. With existing logistics, this market could scale 10x with targeted investment.</w:t>
      </w:r>
    </w:p>
    <w:p w14:paraId="3921DB9E" w14:textId="77777777" w:rsidR="004C0E4D" w:rsidRPr="004C0E4D" w:rsidRDefault="004C0E4D" w:rsidP="004C0E4D">
      <w:r w:rsidRPr="004C0E4D">
        <w:t>Operational Insight</w:t>
      </w:r>
    </w:p>
    <w:p w14:paraId="62F30C58" w14:textId="77777777" w:rsidR="004C0E4D" w:rsidRPr="004C0E4D" w:rsidRDefault="004C0E4D" w:rsidP="004C0E4D">
      <w:r w:rsidRPr="004C0E4D">
        <w:rPr>
          <w:b/>
          <w:bCs/>
        </w:rPr>
        <w:lastRenderedPageBreak/>
        <w:t>60% Standard Class shipping</w:t>
      </w:r>
      <w:r w:rsidRPr="004C0E4D">
        <w:t> adoption indicates price-sensitive customer base — a differentiated express tier could unlock premium revenue.</w:t>
      </w:r>
    </w:p>
    <w:p w14:paraId="5E723F98" w14:textId="77777777" w:rsidR="00014A5D" w:rsidRDefault="00014A5D"/>
    <w:sectPr w:rsidR="00014A5D" w:rsidSect="007C31C9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0445B"/>
    <w:multiLevelType w:val="multilevel"/>
    <w:tmpl w:val="4FB0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7806FE"/>
    <w:multiLevelType w:val="multilevel"/>
    <w:tmpl w:val="D486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6714371">
    <w:abstractNumId w:val="0"/>
  </w:num>
  <w:num w:numId="2" w16cid:durableId="2069450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E4D"/>
    <w:rsid w:val="00014A5D"/>
    <w:rsid w:val="004C0E4D"/>
    <w:rsid w:val="006C2745"/>
    <w:rsid w:val="006D254B"/>
    <w:rsid w:val="007B4AAD"/>
    <w:rsid w:val="007C31C9"/>
    <w:rsid w:val="00871667"/>
    <w:rsid w:val="009D530F"/>
    <w:rsid w:val="00B81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DD82C"/>
  <w15:chartTrackingRefBased/>
  <w15:docId w15:val="{D7257ED3-0942-484C-A90B-CA29EC5CB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E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E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E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E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E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E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E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E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E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E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640</Words>
  <Characters>3648</Characters>
  <Application>Microsoft Office Word</Application>
  <DocSecurity>0</DocSecurity>
  <Lines>30</Lines>
  <Paragraphs>8</Paragraphs>
  <ScaleCrop>false</ScaleCrop>
  <Company/>
  <LinksUpToDate>false</LinksUpToDate>
  <CharactersWithSpaces>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vyjayanthi punuri</dc:creator>
  <cp:keywords/>
  <dc:description/>
  <cp:lastModifiedBy>vyjayanthi punuri</cp:lastModifiedBy>
  <cp:revision>2</cp:revision>
  <dcterms:created xsi:type="dcterms:W3CDTF">2026-06-10T17:32:00Z</dcterms:created>
  <dcterms:modified xsi:type="dcterms:W3CDTF">2026-06-10T17:38:00Z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3b105e9f-26ca-4a83-85ba-05f9875359b8</vt:lpwstr>
  </property>
</Properties>
</file>