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6.1: Khởi tạo API request GET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I/ Yêu cầu: </w:t>
      </w:r>
      <w:r w:rsidDel="00000000" w:rsidR="00000000" w:rsidRPr="00000000">
        <w:rPr>
          <w:rtl w:val="0"/>
        </w:rPr>
        <w:t xml:space="preserve">Bảng bên dưới được cho là các API để lấy thông tin về các công cụ hiện có trong dữ liệu của trang web.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Khởi tạo API request GET cho các API được cho bên dưới.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https://simple-tool-rental-api.glitch.me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all tools (3 API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color w:val="24292f"/>
          <w:rtl w:val="0"/>
        </w:rPr>
        <w:t xml:space="preserve">GET 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/>
      </w:pPr>
      <w:r w:rsidDel="00000000" w:rsidR="00000000" w:rsidRPr="00000000">
        <w:rPr>
          <w:color w:val="24292f"/>
          <w:rtl w:val="0"/>
        </w:rPr>
        <w:t xml:space="preserve">Returns a list of tools from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/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1183"/>
        <w:gridCol w:w="1119"/>
        <w:gridCol w:w="907"/>
        <w:gridCol w:w="6141"/>
        <w:tblGridChange w:id="0">
          <w:tblGrid>
            <w:gridCol w:w="1183"/>
            <w:gridCol w:w="1119"/>
            <w:gridCol w:w="907"/>
            <w:gridCol w:w="614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Optional - Specifies the category of tools you want to be returned. It can be one of: ladders, plumbing, power-tools, trailers, electric-generators, lawn-care.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Optional - Specifies the number of results you want. Must be number between 1 and 20. By default, only 20 tools will be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color w:val="24292f"/>
                <w:rtl w:val="0"/>
              </w:rPr>
              <w:t xml:space="preserve">Optional - Specifies the availability of the tools. By default, all tools will be displayed.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40" w:before="36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 single tool (2 API request)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GET /tools/:toolId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Returns a single tool from the inventory.</w:t>
      </w:r>
    </w:p>
    <w:p w:rsidR="00000000" w:rsidDel="00000000" w:rsidP="00000000" w:rsidRDefault="00000000" w:rsidRPr="00000000" w14:paraId="0000001C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Layout w:type="fixed"/>
        <w:tblLook w:val="0400"/>
      </w:tblPr>
      <w:tblGrid>
        <w:gridCol w:w="1579"/>
        <w:gridCol w:w="1254"/>
        <w:gridCol w:w="993"/>
        <w:gridCol w:w="5524"/>
        <w:tblGridChange w:id="0">
          <w:tblGrid>
            <w:gridCol w:w="1579"/>
            <w:gridCol w:w="1254"/>
            <w:gridCol w:w="993"/>
            <w:gridCol w:w="552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toolId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Specifies the id of the tool you wish to retrieve.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user-manual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Optional - Returns the user manual in PDF format.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after="240" w:line="24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240" w:before="36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all orders</w:t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Returns all orders created by the API client.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GET /orders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Ind w:w="0.0" w:type="dxa"/>
        <w:tblLayout w:type="fixed"/>
        <w:tblLook w:val="0400"/>
      </w:tblPr>
      <w:tblGrid>
        <w:gridCol w:w="1820"/>
        <w:gridCol w:w="992"/>
        <w:gridCol w:w="1124"/>
        <w:gridCol w:w="4934"/>
        <w:tblGridChange w:id="0">
          <w:tblGrid>
            <w:gridCol w:w="1820"/>
            <w:gridCol w:w="992"/>
            <w:gridCol w:w="1124"/>
            <w:gridCol w:w="49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Specifies the bearer token of the API client.</w:t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spacing w:after="240" w:line="240" w:lineRule="auto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  <w:rPr>
          <w:b w:val="1"/>
          <w:color w:val="24292f"/>
          <w:u w:val="none"/>
          <w:shd w:fill="f9cb9c" w:val="clear"/>
        </w:rPr>
      </w:pPr>
      <w:r w:rsidDel="00000000" w:rsidR="00000000" w:rsidRPr="00000000">
        <w:rPr>
          <w:b w:val="1"/>
          <w:color w:val="24292f"/>
          <w:shd w:fill="f9cb9c" w:val="clear"/>
          <w:rtl w:val="0"/>
        </w:rPr>
        <w:t xml:space="preserve">Get a single order</w:t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Returns a single order.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GET /orders/:orderId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Ind w:w="0.0" w:type="dxa"/>
        <w:tblLayout w:type="fixed"/>
        <w:tblLook w:val="0400"/>
      </w:tblPr>
      <w:tblGrid>
        <w:gridCol w:w="1820"/>
        <w:gridCol w:w="1254"/>
        <w:gridCol w:w="1124"/>
        <w:gridCol w:w="4934"/>
        <w:tblGridChange w:id="0">
          <w:tblGrid>
            <w:gridCol w:w="1820"/>
            <w:gridCol w:w="1254"/>
            <w:gridCol w:w="1124"/>
            <w:gridCol w:w="493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jc w:val="center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Specifies the bearer token of the API client.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query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Optional - Shows the PDF invoice</w:t>
            </w:r>
          </w:p>
        </w:tc>
      </w:tr>
    </w:tbl>
    <w:p w:rsidR="00000000" w:rsidDel="00000000" w:rsidP="00000000" w:rsidRDefault="00000000" w:rsidRPr="00000000" w14:paraId="00000047">
      <w:pPr>
        <w:shd w:fill="ffffff" w:val="clear"/>
        <w:spacing w:after="240" w:line="240" w:lineRule="auto"/>
        <w:rPr>
          <w:b w:val="1"/>
          <w:color w:val="24292f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II/ Hướng dẫn:</w:t>
      </w:r>
    </w:p>
    <w:p w:rsidR="00000000" w:rsidDel="00000000" w:rsidP="00000000" w:rsidRDefault="00000000" w:rsidRPr="00000000" w14:paraId="00000049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Trong workspace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Thiết lập request HTTP của bạn là GET.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Trong trường URL yêu cầu, nhập vào link và các param muốn lấy thông tin tương ứng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Kích nút 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Bạn sẽ nhìn thấy message </w:t>
      </w:r>
      <w:r w:rsidDel="00000000" w:rsidR="00000000" w:rsidRPr="00000000">
        <w:rPr>
          <w:b w:val="1"/>
          <w:i w:val="1"/>
          <w:rtl w:val="0"/>
        </w:rPr>
        <w:t xml:space="preserve">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Sẽ hiển thị kết quả status trong phần Body của bạn</w:t>
      </w:r>
    </w:p>
    <w:p w:rsidR="00000000" w:rsidDel="00000000" w:rsidP="00000000" w:rsidRDefault="00000000" w:rsidRPr="00000000" w14:paraId="0000004F">
      <w:pPr>
        <w:shd w:fill="ffffff" w:val="clear"/>
        <w:spacing w:after="240" w:line="240" w:lineRule="auto"/>
        <w:rPr>
          <w:color w:val="666666"/>
        </w:rPr>
      </w:pPr>
      <w:r w:rsidDel="00000000" w:rsidR="00000000" w:rsidRPr="00000000">
        <w:rPr>
          <w:color w:val="666666"/>
        </w:rPr>
        <w:drawing>
          <wp:inline distB="0" distT="0" distL="0" distR="0">
            <wp:extent cx="5943600" cy="29952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="240" w:lineRule="auto"/>
        <w:rPr>
          <w:color w:val="66666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*Chú ý:</w:t>
      </w:r>
      <w:r w:rsidDel="00000000" w:rsidR="00000000" w:rsidRPr="00000000">
        <w:rPr>
          <w:rtl w:val="0"/>
        </w:rPr>
        <w:t xml:space="preserve"> Có thể có nhiều trường hợp request GET không thành công. Nó có thể thể do URL của request không hợp lệ hoặc do chứng thực không thành công (authentication).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23F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23F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23F64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E23F6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mple-tool-rental-api.glitch.m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0Y38+Bm97Rkzg6RpSIpnLgp9Q==">AMUW2mWd5p8M2JkFImKY1h81ooZPsPrCmevzLUuFXFSy1eLRmYFZx4bXJOQt9KyQ9BKdndZmEYcHwoZ4beesBKcT7fS+eSbHg6LFL8gGzzi/IEyhbL6pHAf/uzsdDxrRtx2lZerN6RJ+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2022-01-22T03:47:00Z</dcterms:created>
  <dc:creator>My PC</dc:creator>
</cp:coreProperties>
</file>